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1" w:after="81"/>
        <w:ind w:firstLine="0" w:firstLineChars="0"/>
        <w:rPr>
          <w:rFonts w:hint="eastAsia" w:ascii="Arial" w:hAnsi="Arial" w:eastAsia="黑体"/>
          <w:b w:val="0"/>
          <w:bCs w:val="0"/>
          <w:sz w:val="28"/>
          <w:szCs w:val="28"/>
          <w:lang w:eastAsia="zh-CN"/>
        </w:rPr>
      </w:pPr>
      <w:bookmarkStart w:id="0" w:name="_Toc444778918"/>
      <w:bookmarkStart w:id="1" w:name="_Toc492650494"/>
      <w:r>
        <w:rPr>
          <w:rFonts w:hint="eastAsia" w:ascii="Arial" w:hAnsi="Arial" w:eastAsia="黑体"/>
          <w:b w:val="0"/>
          <w:bCs w:val="0"/>
          <w:sz w:val="28"/>
          <w:szCs w:val="28"/>
          <w:lang w:eastAsia="zh-CN"/>
        </w:rPr>
        <w:t>附件一</w:t>
      </w:r>
    </w:p>
    <w:p>
      <w:pPr>
        <w:spacing w:before="81" w:after="81"/>
        <w:ind w:firstLine="0" w:firstLineChars="0"/>
        <w:jc w:val="center"/>
        <w:rPr>
          <w:rFonts w:ascii="黑体" w:hAnsi="黑体" w:eastAsia="黑体"/>
          <w:sz w:val="40"/>
        </w:rPr>
      </w:pPr>
    </w:p>
    <w:p>
      <w:pPr>
        <w:spacing w:before="81" w:after="81"/>
        <w:ind w:firstLine="0" w:firstLineChars="0"/>
        <w:jc w:val="center"/>
        <w:rPr>
          <w:rFonts w:ascii="黑体" w:hAnsi="黑体" w:eastAsia="黑体"/>
          <w:sz w:val="40"/>
        </w:rPr>
      </w:pPr>
    </w:p>
    <w:p>
      <w:pPr>
        <w:spacing w:before="81" w:after="81"/>
        <w:ind w:firstLine="0" w:firstLineChars="0"/>
        <w:jc w:val="center"/>
        <w:rPr>
          <w:rFonts w:ascii="黑体" w:hAnsi="黑体" w:eastAsia="黑体"/>
          <w:sz w:val="40"/>
        </w:rPr>
      </w:pPr>
    </w:p>
    <w:p>
      <w:pPr>
        <w:spacing w:before="81" w:after="81"/>
        <w:ind w:firstLine="0" w:firstLineChars="0"/>
        <w:jc w:val="center"/>
        <w:rPr>
          <w:rFonts w:ascii="黑体" w:hAnsi="黑体" w:eastAsia="黑体"/>
          <w:sz w:val="52"/>
        </w:rPr>
      </w:pPr>
      <w:r>
        <w:rPr>
          <w:rFonts w:hint="eastAsia" w:ascii="黑体" w:hAnsi="黑体" w:eastAsia="黑体"/>
          <w:sz w:val="52"/>
        </w:rPr>
        <w:t>达州市智慧信访大数据系统</w:t>
      </w:r>
    </w:p>
    <w:p>
      <w:pPr>
        <w:spacing w:before="81" w:after="81"/>
        <w:ind w:firstLine="0" w:firstLineChars="0"/>
        <w:jc w:val="center"/>
        <w:rPr>
          <w:rFonts w:hint="eastAsia" w:ascii="黑体" w:hAnsi="黑体" w:eastAsia="黑体"/>
          <w:sz w:val="52"/>
          <w:lang w:eastAsia="zh-CN"/>
        </w:rPr>
      </w:pPr>
      <w:r>
        <w:rPr>
          <w:rFonts w:hint="eastAsia" w:ascii="黑体" w:hAnsi="黑体" w:eastAsia="黑体"/>
          <w:sz w:val="52"/>
        </w:rPr>
        <w:t>建设需求</w:t>
      </w:r>
      <w:r>
        <w:rPr>
          <w:rFonts w:hint="eastAsia" w:ascii="黑体" w:hAnsi="黑体" w:eastAsia="黑体"/>
          <w:sz w:val="52"/>
          <w:lang w:eastAsia="zh-CN"/>
        </w:rPr>
        <w:t>说明书</w:t>
      </w:r>
    </w:p>
    <w:p>
      <w:pPr>
        <w:spacing w:before="81" w:after="81"/>
        <w:ind w:firstLine="0" w:firstLineChars="0"/>
      </w:pPr>
    </w:p>
    <w:p>
      <w:pPr>
        <w:spacing w:before="81" w:after="81"/>
        <w:ind w:firstLine="0" w:firstLineChars="0"/>
        <w:rPr>
          <w:rFonts w:ascii="宋体" w:hAnsi="宋体"/>
          <w:b/>
          <w:bCs/>
          <w:szCs w:val="32"/>
        </w:rPr>
      </w:pPr>
    </w:p>
    <w:p>
      <w:pPr>
        <w:spacing w:before="81" w:after="81"/>
        <w:ind w:firstLine="0" w:firstLineChars="0"/>
        <w:rPr>
          <w:sz w:val="36"/>
          <w:szCs w:val="36"/>
        </w:rPr>
      </w:pPr>
    </w:p>
    <w:p>
      <w:pPr>
        <w:spacing w:before="81" w:after="81"/>
        <w:ind w:firstLine="0" w:firstLineChars="0"/>
        <w:rPr>
          <w:sz w:val="36"/>
          <w:szCs w:val="36"/>
        </w:rPr>
      </w:pPr>
    </w:p>
    <w:p>
      <w:pPr>
        <w:spacing w:before="81" w:after="81"/>
        <w:ind w:firstLine="0" w:firstLineChars="0"/>
      </w:pPr>
    </w:p>
    <w:p>
      <w:pPr>
        <w:spacing w:before="81" w:after="81"/>
        <w:ind w:firstLine="0" w:firstLineChars="0"/>
      </w:pPr>
    </w:p>
    <w:p>
      <w:pPr>
        <w:spacing w:before="81" w:after="81"/>
        <w:ind w:firstLine="660" w:firstLineChars="275"/>
        <w:jc w:val="left"/>
      </w:pPr>
    </w:p>
    <w:p>
      <w:pPr>
        <w:spacing w:before="81" w:after="81"/>
        <w:ind w:firstLine="990" w:firstLineChars="275"/>
        <w:jc w:val="left"/>
        <w:rPr>
          <w:sz w:val="36"/>
          <w:szCs w:val="36"/>
        </w:rPr>
      </w:pPr>
    </w:p>
    <w:p>
      <w:pPr>
        <w:spacing w:before="78" w:after="78"/>
        <w:ind w:firstLine="0" w:firstLineChars="0"/>
        <w:jc w:val="center"/>
        <w:rPr>
          <w:lang w:val="zh-CN"/>
        </w:rPr>
      </w:pPr>
    </w:p>
    <w:p>
      <w:pPr>
        <w:spacing w:before="78" w:after="78"/>
        <w:ind w:firstLine="0" w:firstLineChars="0"/>
        <w:jc w:val="center"/>
        <w:rPr>
          <w:lang w:val="zh-CN"/>
        </w:rPr>
      </w:pPr>
    </w:p>
    <w:p>
      <w:pPr>
        <w:spacing w:before="78" w:after="78"/>
        <w:ind w:firstLine="0" w:firstLineChars="0"/>
        <w:jc w:val="center"/>
        <w:rPr>
          <w:lang w:val="zh-CN"/>
        </w:rPr>
      </w:pPr>
    </w:p>
    <w:p>
      <w:pPr>
        <w:spacing w:before="78" w:after="78"/>
        <w:ind w:firstLine="0" w:firstLineChars="0"/>
        <w:jc w:val="center"/>
        <w:rPr>
          <w:lang w:val="zh-CN"/>
        </w:rPr>
      </w:pPr>
    </w:p>
    <w:p>
      <w:pPr>
        <w:spacing w:before="78" w:after="78"/>
        <w:ind w:firstLine="0" w:firstLineChars="0"/>
        <w:jc w:val="center"/>
        <w:rPr>
          <w:lang w:val="zh-CN"/>
        </w:rPr>
      </w:pPr>
    </w:p>
    <w:p>
      <w:pPr>
        <w:spacing w:before="78" w:after="78"/>
        <w:ind w:firstLine="0" w:firstLineChars="0"/>
        <w:jc w:val="center"/>
        <w:rPr>
          <w:lang w:val="zh-CN"/>
        </w:rPr>
      </w:pPr>
    </w:p>
    <w:p>
      <w:pPr>
        <w:spacing w:before="78" w:after="78"/>
        <w:ind w:firstLine="0" w:firstLineChars="0"/>
        <w:jc w:val="center"/>
        <w:rPr>
          <w:lang w:val="zh-CN"/>
        </w:rPr>
      </w:pPr>
    </w:p>
    <w:sdt>
      <w:sdtPr>
        <w:rPr>
          <w:lang w:val="zh-CN"/>
        </w:rPr>
        <w:id w:val="-961339477"/>
        <w:docPartObj>
          <w:docPartGallery w:val="Table of Contents"/>
          <w:docPartUnique/>
        </w:docPartObj>
      </w:sdtPr>
      <w:sdtEndPr>
        <w:rPr>
          <w:b/>
          <w:bCs/>
          <w:lang w:val="zh-CN"/>
        </w:rPr>
      </w:sdtEndPr>
      <w:sdtContent>
        <w:p>
          <w:pPr>
            <w:spacing w:before="78" w:after="78"/>
            <w:ind w:firstLine="0" w:firstLineChars="0"/>
            <w:jc w:val="center"/>
          </w:pPr>
          <w:r>
            <w:rPr>
              <w:b/>
              <w:lang w:val="zh-CN"/>
            </w:rPr>
            <w:t>目录</w:t>
          </w:r>
        </w:p>
        <w:p>
          <w:pPr>
            <w:pStyle w:val="25"/>
            <w:spacing w:before="78" w:after="78"/>
            <w:rPr>
              <w:rFonts w:asciiTheme="minorHAnsi" w:hAnsiTheme="minorHAnsi"/>
              <w:sz w:val="21"/>
              <w:szCs w:val="22"/>
            </w:rPr>
          </w:pPr>
          <w:r>
            <w:fldChar w:fldCharType="begin"/>
          </w:r>
          <w:r>
            <w:instrText xml:space="preserve"> TOC \o "1-3" \h \z \u </w:instrText>
          </w:r>
          <w:r>
            <w:fldChar w:fldCharType="separate"/>
          </w:r>
          <w:r>
            <w:fldChar w:fldCharType="begin"/>
          </w:r>
          <w:r>
            <w:instrText xml:space="preserve"> HYPERLINK \l "_Toc117833354" </w:instrText>
          </w:r>
          <w:r>
            <w:fldChar w:fldCharType="separate"/>
          </w:r>
          <w:r>
            <w:rPr>
              <w:rStyle w:val="39"/>
            </w:rPr>
            <w:t>第一章 项目概述</w:t>
          </w:r>
          <w:r>
            <w:tab/>
          </w:r>
          <w:r>
            <w:fldChar w:fldCharType="begin"/>
          </w:r>
          <w:r>
            <w:instrText xml:space="preserve"> PAGEREF _Toc117833354 \h </w:instrText>
          </w:r>
          <w:r>
            <w:fldChar w:fldCharType="separate"/>
          </w:r>
          <w:r>
            <w:t>1</w:t>
          </w:r>
          <w:r>
            <w:fldChar w:fldCharType="end"/>
          </w:r>
          <w:r>
            <w:fldChar w:fldCharType="end"/>
          </w:r>
        </w:p>
        <w:p>
          <w:pPr>
            <w:pStyle w:val="28"/>
            <w:spacing w:before="78" w:after="78"/>
            <w:rPr>
              <w:rFonts w:asciiTheme="minorHAnsi" w:hAnsiTheme="minorHAnsi"/>
              <w:sz w:val="21"/>
              <w:szCs w:val="22"/>
            </w:rPr>
          </w:pPr>
          <w:r>
            <w:fldChar w:fldCharType="begin"/>
          </w:r>
          <w:r>
            <w:instrText xml:space="preserve"> HYPERLINK \l "_Toc117833355" </w:instrText>
          </w:r>
          <w:r>
            <w:fldChar w:fldCharType="separate"/>
          </w:r>
          <w:r>
            <w:rPr>
              <w:rStyle w:val="39"/>
            </w:rPr>
            <w:t>1. 建设背景</w:t>
          </w:r>
          <w:r>
            <w:tab/>
          </w:r>
          <w:r>
            <w:fldChar w:fldCharType="begin"/>
          </w:r>
          <w:r>
            <w:instrText xml:space="preserve"> PAGEREF _Toc117833355 \h </w:instrText>
          </w:r>
          <w:r>
            <w:fldChar w:fldCharType="separate"/>
          </w:r>
          <w:r>
            <w:t>1</w:t>
          </w:r>
          <w:r>
            <w:fldChar w:fldCharType="end"/>
          </w:r>
          <w:r>
            <w:fldChar w:fldCharType="end"/>
          </w:r>
        </w:p>
        <w:p>
          <w:pPr>
            <w:pStyle w:val="28"/>
            <w:spacing w:before="78" w:after="78"/>
            <w:rPr>
              <w:rFonts w:asciiTheme="minorHAnsi" w:hAnsiTheme="minorHAnsi"/>
              <w:sz w:val="21"/>
              <w:szCs w:val="22"/>
            </w:rPr>
          </w:pPr>
          <w:r>
            <w:fldChar w:fldCharType="begin"/>
          </w:r>
          <w:r>
            <w:instrText xml:space="preserve"> HYPERLINK \l "_Toc117833356" </w:instrText>
          </w:r>
          <w:r>
            <w:fldChar w:fldCharType="separate"/>
          </w:r>
          <w:r>
            <w:rPr>
              <w:rStyle w:val="39"/>
            </w:rPr>
            <w:t>2. 建设目标</w:t>
          </w:r>
          <w:r>
            <w:tab/>
          </w:r>
          <w:r>
            <w:fldChar w:fldCharType="begin"/>
          </w:r>
          <w:r>
            <w:instrText xml:space="preserve"> PAGEREF _Toc117833356 \h </w:instrText>
          </w:r>
          <w:r>
            <w:fldChar w:fldCharType="separate"/>
          </w:r>
          <w:r>
            <w:t>1</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"_Toc117833357" </w:instrText>
          </w:r>
          <w:r>
            <w:fldChar w:fldCharType="separate"/>
          </w:r>
          <w:r>
            <w:rPr>
              <w:rStyle w:val="39"/>
            </w:rPr>
            <w:t>2.1. 遵循《信访工作条例》要求</w:t>
          </w:r>
          <w:r>
            <w:tab/>
          </w:r>
          <w:r>
            <w:fldChar w:fldCharType="begin"/>
          </w:r>
          <w:r>
            <w:instrText xml:space="preserve"> PAGEREF _Toc117833357 \h </w:instrText>
          </w:r>
          <w:r>
            <w:fldChar w:fldCharType="separate"/>
          </w:r>
          <w:r>
            <w:t>1</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"_Toc117833358" </w:instrText>
          </w:r>
          <w:r>
            <w:fldChar w:fldCharType="separate"/>
          </w:r>
          <w:r>
            <w:rPr>
              <w:rStyle w:val="39"/>
            </w:rPr>
            <w:t>2.2. 开启达州信访治理新模式</w:t>
          </w:r>
          <w:r>
            <w:tab/>
          </w:r>
          <w:r>
            <w:fldChar w:fldCharType="begin"/>
          </w:r>
          <w:r>
            <w:instrText xml:space="preserve"> PAGEREF _Toc117833358 \h </w:instrText>
          </w:r>
          <w:r>
            <w:fldChar w:fldCharType="separate"/>
          </w:r>
          <w:r>
            <w:t>2</w:t>
          </w:r>
          <w:r>
            <w:fldChar w:fldCharType="end"/>
          </w:r>
          <w:r>
            <w:fldChar w:fldCharType="end"/>
          </w:r>
        </w:p>
        <w:p>
          <w:pPr>
            <w:pStyle w:val="25"/>
            <w:spacing w:before="78" w:after="78"/>
            <w:rPr>
              <w:rFonts w:asciiTheme="minorHAnsi" w:hAnsiTheme="minorHAnsi"/>
              <w:sz w:val="21"/>
              <w:szCs w:val="22"/>
            </w:rPr>
          </w:pPr>
          <w:r>
            <w:fldChar w:fldCharType="begin"/>
          </w:r>
          <w:r>
            <w:instrText xml:space="preserve"> HYPERLINK \l "_Toc117833359" </w:instrText>
          </w:r>
          <w:r>
            <w:fldChar w:fldCharType="separate"/>
          </w:r>
          <w:r>
            <w:rPr>
              <w:rStyle w:val="39"/>
            </w:rPr>
            <w:t>第二章 项目目标和内容</w:t>
          </w:r>
          <w:r>
            <w:tab/>
          </w:r>
          <w:r>
            <w:fldChar w:fldCharType="begin"/>
          </w:r>
          <w:r>
            <w:instrText xml:space="preserve"> PAGEREF _Toc117833359 \h </w:instrText>
          </w:r>
          <w:r>
            <w:fldChar w:fldCharType="separate"/>
          </w:r>
          <w:r>
            <w:t>3</w:t>
          </w:r>
          <w:r>
            <w:fldChar w:fldCharType="end"/>
          </w:r>
          <w:r>
            <w:fldChar w:fldCharType="end"/>
          </w:r>
        </w:p>
        <w:p>
          <w:pPr>
            <w:pStyle w:val="28"/>
            <w:spacing w:before="78" w:after="78"/>
            <w:rPr>
              <w:rFonts w:asciiTheme="minorHAnsi" w:hAnsiTheme="minorHAnsi"/>
              <w:sz w:val="21"/>
              <w:szCs w:val="22"/>
            </w:rPr>
          </w:pPr>
          <w:r>
            <w:fldChar w:fldCharType="begin"/>
          </w:r>
          <w:r>
            <w:instrText xml:space="preserve"> HYPERLINK \l "_Toc117833360" </w:instrText>
          </w:r>
          <w:r>
            <w:fldChar w:fldCharType="separate"/>
          </w:r>
          <w:r>
            <w:rPr>
              <w:rStyle w:val="39"/>
            </w:rPr>
            <w:t>1. 建设目标</w:t>
          </w:r>
          <w:r>
            <w:tab/>
          </w:r>
          <w:r>
            <w:fldChar w:fldCharType="begin"/>
          </w:r>
          <w:r>
            <w:instrText xml:space="preserve"> PAGEREF _Toc117833360 \h </w:instrText>
          </w:r>
          <w:r>
            <w:fldChar w:fldCharType="separate"/>
          </w:r>
          <w:r>
            <w:t>3</w:t>
          </w:r>
          <w:r>
            <w:fldChar w:fldCharType="end"/>
          </w:r>
          <w:r>
            <w:fldChar w:fldCharType="end"/>
          </w:r>
        </w:p>
        <w:p>
          <w:pPr>
            <w:pStyle w:val="28"/>
            <w:spacing w:before="78" w:after="78"/>
            <w:rPr>
              <w:rFonts w:asciiTheme="minorHAnsi" w:hAnsiTheme="minorHAnsi"/>
              <w:sz w:val="21"/>
              <w:szCs w:val="22"/>
            </w:rPr>
          </w:pPr>
          <w:r>
            <w:fldChar w:fldCharType="begin"/>
          </w:r>
          <w:r>
            <w:instrText xml:space="preserve"> HYPERLINK \l "_Toc117833361" </w:instrText>
          </w:r>
          <w:r>
            <w:fldChar w:fldCharType="separate"/>
          </w:r>
          <w:r>
            <w:rPr>
              <w:rStyle w:val="39"/>
            </w:rPr>
            <w:t>2. 建设内容</w:t>
          </w:r>
          <w:r>
            <w:tab/>
          </w:r>
          <w:r>
            <w:fldChar w:fldCharType="begin"/>
          </w:r>
          <w:r>
            <w:instrText xml:space="preserve"> PAGEREF _Toc117833361 \h </w:instrText>
          </w:r>
          <w:r>
            <w:fldChar w:fldCharType="separate"/>
          </w:r>
          <w:r>
            <w:t>4</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"_Toc117833362" </w:instrText>
          </w:r>
          <w:r>
            <w:fldChar w:fldCharType="separate"/>
          </w:r>
          <w:r>
            <w:rPr>
              <w:rStyle w:val="39"/>
            </w:rPr>
            <w:t>2.1. 智慧信访大数据系统整体架构</w:t>
          </w:r>
          <w:r>
            <w:tab/>
          </w:r>
          <w:r>
            <w:fldChar w:fldCharType="begin"/>
          </w:r>
          <w:r>
            <w:instrText xml:space="preserve"> PAGEREF _Toc117833362 \h </w:instrText>
          </w:r>
          <w:r>
            <w:fldChar w:fldCharType="separate"/>
          </w:r>
          <w:r>
            <w:t>4</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"_Toc117833363" </w:instrText>
          </w:r>
          <w:r>
            <w:fldChar w:fldCharType="separate"/>
          </w:r>
          <w:r>
            <w:rPr>
              <w:rStyle w:val="39"/>
            </w:rPr>
            <w:t>2.2. 应用系统建设内容</w:t>
          </w:r>
          <w:r>
            <w:tab/>
          </w:r>
          <w:r>
            <w:fldChar w:fldCharType="begin"/>
          </w:r>
          <w:r>
            <w:instrText xml:space="preserve"> PAGEREF _Toc117833363 \h </w:instrText>
          </w:r>
          <w:r>
            <w:fldChar w:fldCharType="separate"/>
          </w:r>
          <w:r>
            <w:t>5</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"_Toc117833364" </w:instrText>
          </w:r>
          <w:r>
            <w:fldChar w:fldCharType="separate"/>
          </w:r>
          <w:r>
            <w:rPr>
              <w:rStyle w:val="39"/>
            </w:rPr>
            <w:t>2.3. 网络系统建设内容</w:t>
          </w:r>
          <w:r>
            <w:tab/>
          </w:r>
          <w:r>
            <w:fldChar w:fldCharType="begin"/>
          </w:r>
          <w:r>
            <w:instrText xml:space="preserve"> PAGEREF _Toc117833364 \h </w:instrText>
          </w:r>
          <w:r>
            <w:fldChar w:fldCharType="separate"/>
          </w:r>
          <w:r>
            <w:t>27</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"_Toc117833365" </w:instrText>
          </w:r>
          <w:r>
            <w:fldChar w:fldCharType="separate"/>
          </w:r>
          <w:r>
            <w:rPr>
              <w:rStyle w:val="39"/>
            </w:rPr>
            <w:t>2.4. 服务器、存储系统建设内容</w:t>
          </w:r>
          <w:r>
            <w:tab/>
          </w:r>
          <w:r>
            <w:fldChar w:fldCharType="begin"/>
          </w:r>
          <w:r>
            <w:instrText xml:space="preserve"> PAGEREF _Toc117833365 \h </w:instrText>
          </w:r>
          <w:r>
            <w:fldChar w:fldCharType="separate"/>
          </w:r>
          <w:r>
            <w:t>27</w:t>
          </w:r>
          <w:r>
            <w:fldChar w:fldCharType="end"/>
          </w:r>
          <w:r>
            <w:fldChar w:fldCharType="end"/>
          </w:r>
        </w:p>
        <w:p>
          <w:pPr>
            <w:pStyle w:val="20"/>
            <w:spacing w:before="78" w:after="78"/>
            <w:rPr>
              <w:rFonts w:asciiTheme="minorHAnsi" w:hAnsiTheme="minorHAnsi"/>
              <w:sz w:val="21"/>
              <w:szCs w:val="22"/>
            </w:rPr>
          </w:pPr>
          <w:r>
            <w:fldChar w:fldCharType="begin"/>
          </w:r>
          <w:r>
            <w:instrText xml:space="preserve"> HYPERLINK \l "_Toc117833366" </w:instrText>
          </w:r>
          <w:r>
            <w:fldChar w:fldCharType="separate"/>
          </w:r>
          <w:r>
            <w:rPr>
              <w:rStyle w:val="39"/>
            </w:rPr>
            <w:t>2.5. 软件建设内容</w:t>
          </w:r>
          <w:r>
            <w:tab/>
          </w:r>
          <w:r>
            <w:fldChar w:fldCharType="begin"/>
          </w:r>
          <w:r>
            <w:instrText xml:space="preserve"> PAGEREF _Toc117833366 \h </w:instrText>
          </w:r>
          <w:r>
            <w:fldChar w:fldCharType="separate"/>
          </w:r>
          <w:r>
            <w:t>28</w:t>
          </w:r>
          <w:r>
            <w:fldChar w:fldCharType="end"/>
          </w:r>
          <w:r>
            <w:fldChar w:fldCharType="end"/>
          </w:r>
        </w:p>
        <w:p>
          <w:pPr>
            <w:pStyle w:val="28"/>
            <w:spacing w:before="78" w:after="78"/>
            <w:rPr>
              <w:rFonts w:asciiTheme="minorHAnsi" w:hAnsiTheme="minorHAnsi"/>
              <w:sz w:val="21"/>
              <w:szCs w:val="22"/>
            </w:rPr>
          </w:pPr>
          <w:r>
            <w:fldChar w:fldCharType="begin"/>
          </w:r>
          <w:r>
            <w:instrText xml:space="preserve"> HYPERLINK \l "_Toc117833367" </w:instrText>
          </w:r>
          <w:r>
            <w:fldChar w:fldCharType="separate"/>
          </w:r>
          <w:r>
            <w:rPr>
              <w:rStyle w:val="39"/>
            </w:rPr>
            <w:t>3. 服务、运维及运营内容</w:t>
          </w:r>
          <w:r>
            <w:tab/>
          </w:r>
          <w:r>
            <w:fldChar w:fldCharType="begin"/>
          </w:r>
          <w:r>
            <w:instrText xml:space="preserve"> PAGEREF _Toc117833367 \h </w:instrText>
          </w:r>
          <w:r>
            <w:fldChar w:fldCharType="separate"/>
          </w:r>
          <w:r>
            <w:t>30</w:t>
          </w:r>
          <w:r>
            <w:fldChar w:fldCharType="end"/>
          </w:r>
          <w:r>
            <w:fldChar w:fldCharType="end"/>
          </w:r>
        </w:p>
        <w:p>
          <w:pPr>
            <w:spacing w:before="78" w:after="78"/>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701" w:header="851" w:footer="992" w:gutter="0"/>
              <w:pgNumType w:fmt="upperRoman" w:start="1"/>
              <w:cols w:space="425" w:num="1"/>
              <w:docGrid w:type="lines" w:linePitch="312" w:charSpace="0"/>
            </w:sectPr>
          </w:pPr>
          <w:r>
            <w:fldChar w:fldCharType="end"/>
          </w:r>
        </w:p>
      </w:sdtContent>
    </w:sdt>
    <w:p>
      <w:pPr>
        <w:pStyle w:val="2"/>
        <w:spacing w:line="360" w:lineRule="auto"/>
      </w:pPr>
      <w:bookmarkStart w:id="2" w:name="_Toc117833354"/>
      <w:r>
        <w:rPr>
          <w:rFonts w:hint="eastAsia"/>
        </w:rPr>
        <w:t>项目概述</w:t>
      </w:r>
      <w:bookmarkEnd w:id="0"/>
      <w:bookmarkEnd w:id="1"/>
      <w:bookmarkEnd w:id="2"/>
    </w:p>
    <w:p>
      <w:pPr>
        <w:pStyle w:val="3"/>
        <w:spacing w:before="78" w:after="78" w:line="360" w:lineRule="auto"/>
        <w:rPr>
          <w:rFonts w:ascii="Times New Roman"/>
        </w:rPr>
      </w:pPr>
      <w:bookmarkStart w:id="3" w:name="_Toc117833355"/>
      <w:r>
        <w:rPr>
          <w:rFonts w:hint="eastAsia" w:ascii="Times New Roman"/>
        </w:rPr>
        <w:t>建设背景</w:t>
      </w:r>
      <w:bookmarkEnd w:id="3"/>
    </w:p>
    <w:p>
      <w:pPr>
        <w:pStyle w:val="61"/>
        <w:spacing w:before="78" w:after="78"/>
        <w:ind w:firstLine="480"/>
      </w:pPr>
      <w:r>
        <w:rPr>
          <w:rFonts w:hint="eastAsia"/>
        </w:rPr>
        <w:t>结合达州市信访工作的实际发展情况，以信息化技术手段为支撑，以信访事件为核心、以多方位协同治理信访业务为关键，创新达州信访工作新模式，打造具有达州市特色的智慧信访大数据平台。</w:t>
      </w:r>
    </w:p>
    <w:p>
      <w:pPr>
        <w:pStyle w:val="61"/>
        <w:spacing w:before="78" w:after="78"/>
        <w:ind w:firstLine="480"/>
      </w:pPr>
      <w:r>
        <w:rPr>
          <w:rFonts w:hint="eastAsia"/>
        </w:rPr>
        <w:t>达州市智慧信访大数据系统建设主要以现有的综合治理信访数据为基础，整合省信访平台业务数据，以及城市大脑、12345数据、公安智慧化管控数据、舆情数据、市长和书记信箱等多源数据统一接入和融合。利用互联网、云计算、大数据等技术手段，构建创新型信访工作管理体系，实现信访服务渠道多元化、业务监控实时化、研判分析精准化、应急响应及时化。对信访形式进行实时监测与准确预测，可以随时掌握信访形势发展动态，掌握极端事件出现的苗头，同时从源头上对信访发展可能性做出预判，将矛盾冲突化解在萌芽状态，并进行科学预判，为综治维稳、应急处理、制定公共政策提供数据依据和可靠支撑。</w:t>
      </w:r>
    </w:p>
    <w:p>
      <w:pPr>
        <w:pStyle w:val="3"/>
        <w:spacing w:before="78" w:after="78" w:line="360" w:lineRule="auto"/>
        <w:rPr>
          <w:rFonts w:ascii="Times New Roman"/>
        </w:rPr>
      </w:pPr>
      <w:bookmarkStart w:id="4" w:name="_Toc117833356"/>
      <w:r>
        <w:rPr>
          <w:rFonts w:hint="eastAsia" w:ascii="Times New Roman"/>
        </w:rPr>
        <w:t>建设目标</w:t>
      </w:r>
      <w:bookmarkEnd w:id="4"/>
    </w:p>
    <w:p>
      <w:pPr>
        <w:pStyle w:val="61"/>
        <w:spacing w:before="78" w:after="78"/>
        <w:ind w:firstLine="480"/>
      </w:pPr>
      <w:r>
        <w:rPr>
          <w:rFonts w:hint="eastAsia"/>
        </w:rPr>
        <w:t>为贯彻落实中共中央、国务院印发了《信访工作条例》的通知，达州市信访局通过本项目建设一套五年之内省内领先国内一流的科学、专业、高效、便捷和符合标准规范的智慧信访大数据系统，以满足老百姓信访的便利性、减轻基层信访工作人员的工作压力和为市委市府等各级领导提供社情民意的决策分析工具。</w:t>
      </w:r>
    </w:p>
    <w:p>
      <w:pPr>
        <w:pStyle w:val="4"/>
        <w:tabs>
          <w:tab w:val="left" w:pos="1080"/>
        </w:tabs>
        <w:spacing w:before="312" w:line="360" w:lineRule="auto"/>
        <w:ind w:left="0"/>
      </w:pPr>
      <w:bookmarkStart w:id="5" w:name="_Toc117833357"/>
      <w:r>
        <w:rPr>
          <w:rFonts w:hint="eastAsia"/>
        </w:rPr>
        <w:t>遵循《信访工作条例》要求</w:t>
      </w:r>
      <w:bookmarkEnd w:id="5"/>
    </w:p>
    <w:p>
      <w:pPr>
        <w:pStyle w:val="61"/>
        <w:spacing w:before="78" w:after="78"/>
        <w:ind w:firstLine="480"/>
      </w:pPr>
      <w:r>
        <w:rPr>
          <w:rFonts w:hint="eastAsia"/>
        </w:rPr>
        <w:t>《信访工作条例》是信访工作历史上第一部党内法规，是新时代信访制度改革的标志性成果，是推动新时代信访工作高质量发展的纲领性文件，为智慧信访大数据分析平台提供了专业化、规范化、法治化建设标准。</w:t>
      </w:r>
    </w:p>
    <w:p>
      <w:pPr>
        <w:pStyle w:val="61"/>
        <w:spacing w:before="78" w:after="78"/>
        <w:ind w:firstLine="480"/>
      </w:pPr>
      <w:r>
        <w:rPr>
          <w:rFonts w:hint="eastAsia"/>
        </w:rPr>
        <w:t>1)</w:t>
      </w:r>
      <w:r>
        <w:rPr>
          <w:rFonts w:hint="eastAsia"/>
        </w:rPr>
        <w:tab/>
      </w:r>
      <w:r>
        <w:rPr>
          <w:rFonts w:hint="eastAsia"/>
        </w:rPr>
        <w:t>牢牢把握人民至上这一根本要求。要增强了解社情民意、为政得失的主动性，畅通群众信访渠道，摸清群众的愿望和诉求，掌握社会关注热点，及时回应关切，既维护群众合法权益，又维护社会大局稳定。</w:t>
      </w:r>
    </w:p>
    <w:p>
      <w:pPr>
        <w:pStyle w:val="61"/>
        <w:spacing w:before="78" w:after="78"/>
        <w:ind w:firstLine="480"/>
      </w:pPr>
      <w:r>
        <w:rPr>
          <w:rFonts w:hint="eastAsia"/>
        </w:rPr>
        <w:t>2)</w:t>
      </w:r>
      <w:r>
        <w:rPr>
          <w:rFonts w:hint="eastAsia"/>
        </w:rPr>
        <w:tab/>
      </w:r>
      <w:r>
        <w:rPr>
          <w:rFonts w:hint="eastAsia"/>
        </w:rPr>
        <w:t>牢牢把握源头治理这一治本之策。多措并举、综合施策，着力点放在源头预防和前端化解，把可能引发信访问题的矛盾纠纷化解在基层、化解在萌芽状态，加大重点领域、重点群体、重点人员信访矛盾化解。</w:t>
      </w:r>
    </w:p>
    <w:p>
      <w:pPr>
        <w:pStyle w:val="61"/>
        <w:spacing w:before="78" w:after="78"/>
        <w:ind w:firstLine="480"/>
      </w:pPr>
      <w:r>
        <w:rPr>
          <w:rFonts w:hint="eastAsia"/>
        </w:rPr>
        <w:t>3)</w:t>
      </w:r>
      <w:r>
        <w:rPr>
          <w:rFonts w:hint="eastAsia"/>
        </w:rPr>
        <w:tab/>
      </w:r>
      <w:r>
        <w:rPr>
          <w:rFonts w:hint="eastAsia"/>
        </w:rPr>
        <w:t>牢牢把握责任落实这一关键环节。要严格落实属地和部门责任，完善地方党委定期听取汇报、研究部署信访工作和政府组织落实制度，进一步建立健全市信访工作联席会议制度。</w:t>
      </w:r>
    </w:p>
    <w:p>
      <w:pPr>
        <w:pStyle w:val="61"/>
        <w:spacing w:before="78" w:after="78"/>
        <w:ind w:firstLine="480"/>
      </w:pPr>
      <w:r>
        <w:rPr>
          <w:rFonts w:hint="eastAsia"/>
        </w:rPr>
        <w:t>4)</w:t>
      </w:r>
      <w:r>
        <w:rPr>
          <w:rFonts w:hint="eastAsia"/>
        </w:rPr>
        <w:tab/>
      </w:r>
      <w:r>
        <w:rPr>
          <w:rFonts w:hint="eastAsia"/>
        </w:rPr>
        <w:t>综合反映信访信息，分析研判信访形势，为党委和政府提供决策参考。</w:t>
      </w:r>
    </w:p>
    <w:p>
      <w:pPr>
        <w:pStyle w:val="4"/>
        <w:tabs>
          <w:tab w:val="left" w:pos="1080"/>
        </w:tabs>
        <w:spacing w:before="312" w:line="360" w:lineRule="auto"/>
        <w:ind w:left="0"/>
      </w:pPr>
      <w:bookmarkStart w:id="6" w:name="_Toc117833358"/>
      <w:r>
        <w:rPr>
          <w:rFonts w:hint="eastAsia"/>
        </w:rPr>
        <w:t>开启达州信访治理新模式</w:t>
      </w:r>
      <w:bookmarkEnd w:id="6"/>
    </w:p>
    <w:p>
      <w:pPr>
        <w:pStyle w:val="61"/>
        <w:spacing w:before="78" w:after="78"/>
        <w:ind w:firstLine="480"/>
      </w:pPr>
      <w:r>
        <w:rPr>
          <w:rFonts w:hint="eastAsia"/>
        </w:rPr>
        <w:t>1)</w:t>
      </w:r>
      <w:r>
        <w:rPr>
          <w:rFonts w:hint="eastAsia"/>
        </w:rPr>
        <w:tab/>
      </w:r>
      <w:r>
        <w:rPr>
          <w:rFonts w:hint="eastAsia"/>
        </w:rPr>
        <w:t>依托互联网技术、运用大数据提升信访服务工作，实现 “数据多跑路、群众少跑腿”，真正便利老百姓。</w:t>
      </w:r>
    </w:p>
    <w:p>
      <w:pPr>
        <w:pStyle w:val="61"/>
        <w:spacing w:before="78" w:after="78"/>
        <w:ind w:firstLine="480"/>
      </w:pPr>
      <w:r>
        <w:rPr>
          <w:rFonts w:hint="eastAsia"/>
        </w:rPr>
        <w:t>2)</w:t>
      </w:r>
      <w:r>
        <w:rPr>
          <w:rFonts w:hint="eastAsia"/>
        </w:rPr>
        <w:tab/>
      </w:r>
      <w:r>
        <w:rPr>
          <w:rFonts w:hint="eastAsia"/>
        </w:rPr>
        <w:t>建立健全大数据辅助科学决策和社会治理的机制，实现政府决策科学化、社会治理精准化。</w:t>
      </w:r>
    </w:p>
    <w:p>
      <w:pPr>
        <w:pStyle w:val="61"/>
        <w:spacing w:before="78" w:after="78"/>
        <w:ind w:firstLine="480"/>
      </w:pPr>
      <w:r>
        <w:rPr>
          <w:rFonts w:hint="eastAsia"/>
        </w:rPr>
        <w:t>3)</w:t>
      </w:r>
      <w:r>
        <w:rPr>
          <w:rFonts w:hint="eastAsia"/>
        </w:rPr>
        <w:tab/>
      </w:r>
      <w:r>
        <w:rPr>
          <w:rFonts w:hint="eastAsia"/>
        </w:rPr>
        <w:t>充分利用大数据平台，综合分析风险因素，提高对风险因素的感知、预测、防范能力。</w:t>
      </w:r>
    </w:p>
    <w:p>
      <w:pPr>
        <w:pStyle w:val="61"/>
        <w:spacing w:before="78" w:after="78"/>
        <w:ind w:firstLine="480"/>
      </w:pPr>
      <w:r>
        <w:rPr>
          <w:rFonts w:hint="eastAsia"/>
        </w:rPr>
        <w:t>4)</w:t>
      </w:r>
      <w:r>
        <w:rPr>
          <w:rFonts w:hint="eastAsia"/>
        </w:rPr>
        <w:tab/>
      </w:r>
      <w:r>
        <w:rPr>
          <w:rFonts w:hint="eastAsia"/>
        </w:rPr>
        <w:t>推动数据融合结合高清视频通信技术，实现跨层级、跨地域、跨系统、跨部门、跨业务的协同管理和服务。</w:t>
      </w:r>
    </w:p>
    <w:p>
      <w:pPr>
        <w:pStyle w:val="61"/>
        <w:spacing w:before="78" w:after="78"/>
        <w:ind w:firstLine="480"/>
      </w:pPr>
      <w:r>
        <w:rPr>
          <w:rFonts w:hint="eastAsia"/>
        </w:rPr>
        <w:t>5)</w:t>
      </w:r>
      <w:r>
        <w:rPr>
          <w:rFonts w:hint="eastAsia"/>
        </w:rPr>
        <w:tab/>
      </w:r>
      <w:r>
        <w:rPr>
          <w:rFonts w:hint="eastAsia"/>
        </w:rPr>
        <w:t>可视化、智慧化、数据化的信访智能化大数据分析平台达州信访办工作服务能力提供展示平台。</w:t>
      </w:r>
    </w:p>
    <w:p>
      <w:pPr>
        <w:pStyle w:val="61"/>
        <w:spacing w:before="78" w:after="78"/>
        <w:ind w:firstLine="480"/>
      </w:pPr>
      <w:r>
        <w:rPr>
          <w:rFonts w:hint="eastAsia"/>
        </w:rPr>
        <w:t>6)</w:t>
      </w:r>
      <w:r>
        <w:rPr>
          <w:rFonts w:hint="eastAsia"/>
        </w:rPr>
        <w:tab/>
      </w:r>
      <w:r>
        <w:rPr>
          <w:rFonts w:hint="eastAsia"/>
        </w:rPr>
        <w:t>达州信访大数据平台，应用了图像识别、语义分析等最新的信息化技术，开发了智能判重、智能搜索、决策分析等10项智能化应用，开创了视频接访、视频会商协同信访工作模式，凸显了鲜明的达州特色。</w:t>
      </w:r>
    </w:p>
    <w:p>
      <w:pPr>
        <w:pStyle w:val="61"/>
        <w:spacing w:before="78" w:after="78"/>
        <w:ind w:firstLine="480"/>
      </w:pPr>
    </w:p>
    <w:p>
      <w:pPr>
        <w:spacing w:before="78" w:after="78"/>
        <w:ind w:firstLine="480"/>
        <w:rPr>
          <w:rFonts w:hAnsi="宋体"/>
        </w:rPr>
      </w:pPr>
      <w:bookmarkStart w:id="7" w:name="_Toc444778925"/>
    </w:p>
    <w:p>
      <w:pPr>
        <w:spacing w:before="78" w:after="78"/>
        <w:ind w:firstLine="480"/>
        <w:rPr>
          <w:rFonts w:hAnsi="宋体"/>
        </w:rPr>
      </w:pPr>
    </w:p>
    <w:p>
      <w:pPr>
        <w:spacing w:before="78" w:after="78"/>
        <w:ind w:firstLine="480"/>
        <w:rPr>
          <w:rFonts w:hint="eastAsia" w:hAnsi="宋体"/>
          <w:lang w:val="en-US" w:eastAsia="zh-CN"/>
        </w:rPr>
      </w:pPr>
      <w:r>
        <w:rPr>
          <w:rFonts w:hint="eastAsia" w:hAnsi="宋体"/>
          <w:lang w:val="en-US" w:eastAsia="zh-CN"/>
        </w:rPr>
        <w:t xml:space="preserve"> </w:t>
      </w: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spacing w:before="78" w:after="78"/>
        <w:ind w:firstLine="480"/>
        <w:rPr>
          <w:rFonts w:hint="eastAsia" w:hAnsi="宋体"/>
          <w:lang w:val="en-US" w:eastAsia="zh-CN"/>
        </w:rPr>
      </w:pPr>
    </w:p>
    <w:p>
      <w:pPr>
        <w:pStyle w:val="2"/>
        <w:spacing w:line="360" w:lineRule="auto"/>
      </w:pPr>
      <w:bookmarkStart w:id="8" w:name="_Toc117833359"/>
      <w:bookmarkStart w:id="9" w:name="_Toc492650534"/>
      <w:r>
        <w:rPr>
          <w:rFonts w:hint="eastAsia"/>
        </w:rPr>
        <w:t>项目目标和内容</w:t>
      </w:r>
      <w:bookmarkEnd w:id="8"/>
      <w:bookmarkEnd w:id="9"/>
    </w:p>
    <w:p>
      <w:pPr>
        <w:pStyle w:val="3"/>
        <w:spacing w:before="78" w:after="78" w:line="360" w:lineRule="auto"/>
        <w:rPr>
          <w:rFonts w:ascii="Times New Roman" w:hAnsi="Times New Roman"/>
        </w:rPr>
      </w:pPr>
      <w:bookmarkStart w:id="10" w:name="_Toc117833360"/>
      <w:bookmarkStart w:id="11" w:name="_Toc492650535"/>
      <w:r>
        <w:rPr>
          <w:rFonts w:hint="eastAsia" w:ascii="Times New Roman" w:hAnsi="Times New Roman"/>
        </w:rPr>
        <w:t>建设目标</w:t>
      </w:r>
      <w:bookmarkEnd w:id="10"/>
      <w:bookmarkEnd w:id="11"/>
    </w:p>
    <w:p>
      <w:pPr>
        <w:spacing w:before="78" w:after="78"/>
        <w:ind w:firstLine="480"/>
        <w:rPr>
          <w:rFonts w:hAnsi="宋体"/>
        </w:rPr>
      </w:pPr>
      <w:r>
        <w:rPr>
          <w:rFonts w:hint="eastAsia" w:hAnsi="宋体"/>
        </w:rPr>
        <w:t>建设目标主要由下面几点：</w:t>
      </w:r>
    </w:p>
    <w:p>
      <w:pPr>
        <w:pStyle w:val="131"/>
        <w:spacing w:line="360" w:lineRule="auto"/>
        <w:rPr>
          <w:rFonts w:ascii="Times New Roman" w:hAnsi="Times New Roman"/>
        </w:rPr>
      </w:pPr>
      <w:bookmarkStart w:id="12" w:name="_Toc459284800"/>
      <w:r>
        <w:rPr>
          <w:rFonts w:hint="eastAsia" w:ascii="Times New Roman" w:hAnsi="Times New Roman"/>
        </w:rPr>
        <w:t>1）提升便民服务能力</w:t>
      </w:r>
      <w:bookmarkEnd w:id="12"/>
    </w:p>
    <w:p>
      <w:pPr>
        <w:spacing w:before="78" w:after="78"/>
        <w:ind w:firstLine="480"/>
        <w:rPr>
          <w:rFonts w:hAnsi="宋体"/>
        </w:rPr>
      </w:pPr>
      <w:r>
        <w:rPr>
          <w:rFonts w:hint="eastAsia" w:ascii="宋体" w:hAnsi="宋体"/>
          <w:bCs/>
          <w:color w:val="000000"/>
        </w:rPr>
        <w:t>提升老百姓信访的便利，为老百姓提供信访业务的处理进度查询，杜绝信访事态的扩大，提升信访工作效率</w:t>
      </w:r>
      <w:r>
        <w:rPr>
          <w:rFonts w:hint="eastAsia" w:hAnsi="宋体"/>
        </w:rPr>
        <w:t>。</w:t>
      </w:r>
    </w:p>
    <w:p>
      <w:pPr>
        <w:pStyle w:val="131"/>
        <w:spacing w:line="360" w:lineRule="auto"/>
        <w:rPr>
          <w:rFonts w:ascii="Times New Roman" w:hAnsi="Times New Roman"/>
        </w:rPr>
      </w:pPr>
      <w:bookmarkStart w:id="13" w:name="_Toc459284801"/>
      <w:r>
        <w:rPr>
          <w:rFonts w:hint="eastAsia" w:ascii="Times New Roman" w:hAnsi="Times New Roman"/>
        </w:rPr>
        <w:t>2）大幅提高信访工作效率</w:t>
      </w:r>
      <w:bookmarkEnd w:id="13"/>
    </w:p>
    <w:p>
      <w:pPr>
        <w:spacing w:before="78" w:after="78"/>
        <w:ind w:firstLine="480"/>
        <w:rPr>
          <w:rFonts w:hAnsi="宋体"/>
        </w:rPr>
      </w:pPr>
      <w:r>
        <w:rPr>
          <w:rFonts w:hint="eastAsia" w:hAnsi="宋体"/>
        </w:rPr>
        <w:t>建设信访业务平台，为信访业务提供台账管理，解决基层老百姓诉求无痕、无响应问题，对信访业务全流程全业务管理，为信访大数据分析提供基层信访原始数据，精准分析老百姓的真实诉求。</w:t>
      </w:r>
    </w:p>
    <w:p>
      <w:pPr>
        <w:pStyle w:val="131"/>
        <w:spacing w:line="360" w:lineRule="auto"/>
        <w:rPr>
          <w:rFonts w:ascii="Times New Roman" w:hAnsi="Times New Roman"/>
        </w:rPr>
      </w:pPr>
      <w:bookmarkStart w:id="14" w:name="_Toc459284802"/>
      <w:r>
        <w:rPr>
          <w:rFonts w:hint="eastAsia" w:ascii="Times New Roman" w:hAnsi="Times New Roman"/>
        </w:rPr>
        <w:t>3）提高信访回访信息化水平</w:t>
      </w:r>
      <w:bookmarkEnd w:id="14"/>
    </w:p>
    <w:p>
      <w:pPr>
        <w:spacing w:before="78" w:after="78"/>
        <w:ind w:firstLine="480"/>
        <w:rPr>
          <w:rFonts w:hAnsi="宋体"/>
        </w:rPr>
      </w:pPr>
      <w:r>
        <w:rPr>
          <w:rFonts w:hint="eastAsia" w:hAnsi="宋体"/>
        </w:rPr>
        <w:t>建设智能回访系统，提供线上线下信访回访服务方式，了解掌握各地各部门对依法应当受理的信访事项的处理落实情况，听取信访群众的意见和建议，切实推进问题解决，减少重复信访存量，控制重复信访增量，真正实现案结事了、群众满意、息诉罢访。</w:t>
      </w:r>
    </w:p>
    <w:p>
      <w:pPr>
        <w:pStyle w:val="131"/>
        <w:spacing w:line="360" w:lineRule="auto"/>
        <w:rPr>
          <w:rFonts w:ascii="Times New Roman" w:hAnsi="Times New Roman"/>
        </w:rPr>
      </w:pPr>
      <w:bookmarkStart w:id="15" w:name="_Toc459284803"/>
      <w:r>
        <w:rPr>
          <w:rFonts w:hint="eastAsia" w:ascii="Times New Roman" w:hAnsi="Times New Roman"/>
        </w:rPr>
        <w:t>4）</w:t>
      </w:r>
      <w:bookmarkEnd w:id="15"/>
      <w:r>
        <w:rPr>
          <w:rFonts w:hint="eastAsia" w:ascii="Times New Roman" w:hAnsi="Times New Roman"/>
        </w:rPr>
        <w:t>决策分析</w:t>
      </w:r>
    </w:p>
    <w:p>
      <w:pPr>
        <w:spacing w:before="78" w:after="78"/>
        <w:ind w:firstLine="480"/>
        <w:rPr>
          <w:rFonts w:hAnsi="宋体"/>
        </w:rPr>
      </w:pPr>
      <w:r>
        <w:rPr>
          <w:rFonts w:hint="eastAsia" w:hAnsi="宋体"/>
        </w:rPr>
        <w:t>为实现信访信息资源整合共享、访情预判、综合研判，为党委政府决策和信访工作水平的提升提供强有力支撑。</w:t>
      </w:r>
    </w:p>
    <w:p>
      <w:pPr>
        <w:spacing w:before="78" w:after="78"/>
        <w:ind w:firstLine="480"/>
        <w:rPr>
          <w:rFonts w:hAnsi="宋体"/>
        </w:rPr>
      </w:pPr>
      <w:r>
        <w:rPr>
          <w:rFonts w:hint="eastAsia" w:hAnsi="宋体"/>
        </w:rPr>
        <w:t>该系统的建设，可缓解过多社会问题和社会冲突所产生的不断攀升的信访量对信访工作部门造成的沉重负担，并通过对信访极端事件等重点关注信息的准确预判为及时掌握信访发展趋势提供科学依据，切实加强基础工作和技术规范，确保信访工作的及时、准确、全面化。</w:t>
      </w:r>
    </w:p>
    <w:p>
      <w:pPr>
        <w:pStyle w:val="131"/>
        <w:spacing w:line="360" w:lineRule="auto"/>
        <w:rPr>
          <w:rFonts w:ascii="Times New Roman" w:hAnsi="Times New Roman"/>
        </w:rPr>
      </w:pPr>
      <w:bookmarkStart w:id="16" w:name="_Toc459284804"/>
      <w:r>
        <w:rPr>
          <w:rFonts w:hint="eastAsia" w:ascii="Times New Roman" w:hAnsi="Times New Roman"/>
        </w:rPr>
        <w:t>5）</w:t>
      </w:r>
      <w:bookmarkEnd w:id="16"/>
      <w:r>
        <w:rPr>
          <w:rFonts w:hint="eastAsia" w:ascii="Times New Roman" w:hAnsi="Times New Roman"/>
        </w:rPr>
        <w:t>信访协同服务</w:t>
      </w:r>
    </w:p>
    <w:p>
      <w:pPr>
        <w:spacing w:before="78" w:after="78"/>
        <w:ind w:firstLine="480"/>
        <w:rPr>
          <w:rFonts w:hAnsi="宋体"/>
        </w:rPr>
      </w:pPr>
      <w:r>
        <w:rPr>
          <w:rFonts w:hint="eastAsia" w:hAnsi="宋体"/>
        </w:rPr>
        <w:t>基于高清视频通讯技术和大数据技术，实现同类疑难案件，联合接访案件的处置流程可视化智能化接访和会商信访业务开展。</w:t>
      </w:r>
    </w:p>
    <w:p>
      <w:pPr>
        <w:spacing w:before="78" w:after="78"/>
        <w:ind w:firstLine="480"/>
        <w:rPr>
          <w:rFonts w:hAnsi="宋体"/>
        </w:rPr>
      </w:pPr>
      <w:r>
        <w:rPr>
          <w:rFonts w:hint="eastAsia" w:hAnsi="宋体"/>
        </w:rPr>
        <w:t>实行紧事快办，形成了责任单位少跑腿，信访群众少跑路，线上联合高效办理各类疑难信访事项的处理过程。</w:t>
      </w:r>
    </w:p>
    <w:p>
      <w:pPr>
        <w:pStyle w:val="131"/>
        <w:spacing w:line="360" w:lineRule="auto"/>
        <w:rPr>
          <w:rFonts w:ascii="Times New Roman" w:hAnsi="Times New Roman"/>
        </w:rPr>
      </w:pPr>
      <w:bookmarkStart w:id="17" w:name="_Toc459284805"/>
      <w:r>
        <w:rPr>
          <w:rFonts w:hint="eastAsia" w:ascii="Times New Roman" w:hAnsi="Times New Roman"/>
        </w:rPr>
        <w:t>6）</w:t>
      </w:r>
      <w:bookmarkEnd w:id="17"/>
      <w:r>
        <w:rPr>
          <w:rFonts w:hint="eastAsia" w:ascii="Times New Roman" w:hAnsi="Times New Roman"/>
        </w:rPr>
        <w:t>数据对接</w:t>
      </w:r>
    </w:p>
    <w:p>
      <w:pPr>
        <w:spacing w:before="78" w:after="78"/>
        <w:ind w:firstLine="480"/>
        <w:rPr>
          <w:rFonts w:ascii="宋体" w:hAnsi="宋体"/>
          <w:bCs/>
          <w:color w:val="000000"/>
        </w:rPr>
      </w:pPr>
      <w:r>
        <w:rPr>
          <w:rFonts w:hint="eastAsia" w:ascii="宋体" w:hAnsi="宋体"/>
          <w:bCs/>
          <w:color w:val="000000"/>
        </w:rPr>
        <w:t>多渠道接入信访相关数据，智慧信访大数据系统业务更全、数据覆盖更广、信访数据分析结果更精准、智慧性更高。</w:t>
      </w:r>
    </w:p>
    <w:p>
      <w:pPr>
        <w:pStyle w:val="3"/>
        <w:spacing w:before="78" w:after="78" w:line="360" w:lineRule="auto"/>
        <w:rPr>
          <w:rFonts w:ascii="Times New Roman" w:hAnsi="Times New Roman"/>
        </w:rPr>
      </w:pPr>
      <w:bookmarkStart w:id="18" w:name="_Toc117833361"/>
      <w:bookmarkStart w:id="19" w:name="_Toc492650536"/>
      <w:r>
        <w:rPr>
          <w:rFonts w:hint="eastAsia" w:ascii="Times New Roman" w:hAnsi="Times New Roman"/>
        </w:rPr>
        <w:t>建设内容</w:t>
      </w:r>
      <w:bookmarkEnd w:id="18"/>
      <w:bookmarkEnd w:id="19"/>
    </w:p>
    <w:p>
      <w:pPr>
        <w:pStyle w:val="4"/>
        <w:tabs>
          <w:tab w:val="left" w:pos="1080"/>
        </w:tabs>
        <w:spacing w:before="312" w:line="360" w:lineRule="auto"/>
        <w:ind w:left="0"/>
      </w:pPr>
      <w:bookmarkStart w:id="20" w:name="_Toc117833362"/>
      <w:r>
        <w:rPr>
          <w:rFonts w:hint="eastAsia"/>
        </w:rPr>
        <w:t>智慧信访大数据系统整体架构</w:t>
      </w:r>
      <w:bookmarkEnd w:id="20"/>
    </w:p>
    <w:p>
      <w:pPr>
        <w:spacing w:before="78" w:after="78"/>
        <w:ind w:firstLine="480"/>
      </w:pPr>
      <w:r>
        <w:rPr>
          <w:rFonts w:hint="eastAsia"/>
        </w:rPr>
        <w:t>智慧信访大数据系统主要从软硬件层面提供平台级的应用支撑能力，基于最底层的Linux集群基础设施，提供PaaS层的平台服务，在其之上提供SaaS层应用。</w:t>
      </w:r>
    </w:p>
    <w:p>
      <w:pPr>
        <w:spacing w:before="78" w:after="78"/>
        <w:ind w:firstLine="480"/>
      </w:pPr>
      <w:r>
        <w:rPr>
          <w:rFonts w:hint="eastAsia"/>
        </w:rPr>
        <w:t>在PaaS层提供数据采集服务、分布式文件存储服务、分布式数据库服务、数据搜索服务、分布式离线计算服务、实时计算服务、数据挖掘服务、分布式消息队列服务、分布式协调服务、开放式监控服务以及集群管理。</w:t>
      </w:r>
    </w:p>
    <w:p>
      <w:pPr>
        <w:spacing w:before="78" w:after="78"/>
        <w:ind w:firstLine="480"/>
      </w:pPr>
      <w:r>
        <w:rPr>
          <w:rFonts w:hint="eastAsia"/>
        </w:rPr>
        <w:t>在DaaS层构建数据库群，包括基础信息库、业务数据库、主题数据库，如关联分析库、趋势分析库、地域分析库、情感分析库等。</w:t>
      </w:r>
    </w:p>
    <w:p>
      <w:pPr>
        <w:spacing w:before="78" w:after="78"/>
        <w:ind w:firstLine="480"/>
      </w:pPr>
      <w:r>
        <w:rPr>
          <w:rFonts w:hint="eastAsia"/>
        </w:rPr>
        <w:t>在SaaS层提供应用级别的服务：信访业务下图、信访地域分析、信访时间分析、智能回访。平台技术架构如下图所示：</w:t>
      </w:r>
    </w:p>
    <w:p>
      <w:pPr>
        <w:spacing w:before="78" w:after="78"/>
        <w:ind w:firstLine="480"/>
      </w:pPr>
      <w:r>
        <w:rPr>
          <w:rFonts w:hint="eastAsia"/>
        </w:rPr>
        <w:drawing>
          <wp:inline distT="0" distB="0" distL="0" distR="0">
            <wp:extent cx="5334000" cy="3479800"/>
            <wp:effectExtent l="0" t="0" r="0" b="635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a:stretch>
                      <a:fillRect/>
                    </a:stretch>
                  </pic:blipFill>
                  <pic:spPr>
                    <a:xfrm>
                      <a:off x="0" y="0"/>
                      <a:ext cx="5334000" cy="3479800"/>
                    </a:xfrm>
                    <a:prstGeom prst="rect">
                      <a:avLst/>
                    </a:prstGeom>
                    <a:noFill/>
                    <a:ln>
                      <a:noFill/>
                    </a:ln>
                  </pic:spPr>
                </pic:pic>
              </a:graphicData>
            </a:graphic>
          </wp:inline>
        </w:drawing>
      </w:r>
    </w:p>
    <w:p>
      <w:pPr>
        <w:pStyle w:val="4"/>
        <w:tabs>
          <w:tab w:val="left" w:pos="1080"/>
        </w:tabs>
        <w:spacing w:before="312" w:line="360" w:lineRule="auto"/>
        <w:ind w:left="0"/>
      </w:pPr>
      <w:bookmarkStart w:id="21" w:name="_Toc492650537"/>
      <w:bookmarkStart w:id="22" w:name="_Toc117833363"/>
      <w:r>
        <w:rPr>
          <w:rFonts w:hint="eastAsia"/>
        </w:rPr>
        <w:t>应用系统建设内容</w:t>
      </w:r>
      <w:bookmarkEnd w:id="21"/>
      <w:bookmarkEnd w:id="22"/>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应用系统架构设计</w:t>
      </w:r>
    </w:p>
    <w:p>
      <w:pPr>
        <w:spacing w:before="78" w:after="78"/>
        <w:ind w:firstLine="480"/>
      </w:pPr>
      <w:r>
        <w:rPr>
          <w:rFonts w:hint="eastAsia"/>
        </w:rPr>
        <w:t>应用系统设计包括，信访信息集成平台、信访视频通信能力平台、信访大数据中心、业务应用系统和操作平台组成。</w:t>
      </w:r>
    </w:p>
    <w:p>
      <w:pPr>
        <w:spacing w:before="78" w:after="78"/>
        <w:ind w:firstLine="0" w:firstLineChars="0"/>
        <w:jc w:val="center"/>
      </w:pPr>
      <w:r>
        <w:drawing>
          <wp:inline distT="0" distB="0" distL="0" distR="0">
            <wp:extent cx="5327650" cy="2578100"/>
            <wp:effectExtent l="0" t="0" r="635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5327650" cy="2578100"/>
                    </a:xfrm>
                    <a:prstGeom prst="rect">
                      <a:avLst/>
                    </a:prstGeom>
                    <a:noFill/>
                    <a:ln>
                      <a:noFill/>
                    </a:ln>
                  </pic:spPr>
                </pic:pic>
              </a:graphicData>
            </a:graphic>
          </wp:inline>
        </w:drawing>
      </w:r>
    </w:p>
    <w:p>
      <w:pPr>
        <w:spacing w:before="78" w:after="78"/>
        <w:ind w:firstLine="0" w:firstLineChars="0"/>
      </w:pPr>
    </w:p>
    <w:p>
      <w:pPr>
        <w:spacing w:before="78" w:after="78"/>
        <w:ind w:firstLine="0" w:firstLineChars="0"/>
      </w:pP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便民服务</w:t>
      </w:r>
    </w:p>
    <w:p>
      <w:pPr>
        <w:pStyle w:val="6"/>
        <w:rPr>
          <w:lang w:val="zh-CN"/>
        </w:rPr>
      </w:pPr>
      <w:r>
        <w:rPr>
          <w:rFonts w:hint="eastAsia"/>
          <w:lang w:val="zh-CN"/>
        </w:rPr>
        <w:t>系统概述</w:t>
      </w:r>
    </w:p>
    <w:p>
      <w:pPr>
        <w:spacing w:before="78" w:after="78"/>
        <w:ind w:firstLine="480"/>
      </w:pPr>
      <w:r>
        <w:rPr>
          <w:rFonts w:hint="eastAsia"/>
        </w:rPr>
        <w:t>为了凸显达州信访特色，智慧信访大数据平台多渠道数据覆盖信访业务全方位，并结合智能分析、智能识别与通信技术相融合的技术优势，建设便民利民的智能化信访业务平台，提升信访工作效率，为信访业务工作留痕，为信访工作提供数据监管，智慧信访大数据分析平台为领导决策提供数据支撑，进一步提升一线信访业务人员服务能力。</w:t>
      </w:r>
    </w:p>
    <w:p>
      <w:pPr>
        <w:spacing w:before="78" w:after="78"/>
        <w:ind w:firstLine="480"/>
      </w:pPr>
      <w:r>
        <w:rPr>
          <w:rFonts w:hint="eastAsia"/>
        </w:rPr>
        <w:t>便民服务平台提供便民利民的信访工具，为老百姓提供信访业务的处理进度查询，杜绝信访事态的扩大，提升信访工作效率。</w:t>
      </w:r>
    </w:p>
    <w:p>
      <w:pPr>
        <w:pStyle w:val="6"/>
        <w:rPr>
          <w:lang w:val="zh-CN"/>
        </w:rPr>
      </w:pPr>
      <w:r>
        <w:rPr>
          <w:rFonts w:hint="eastAsia"/>
          <w:lang w:val="zh-CN"/>
        </w:rPr>
        <w:t>办理进度查询</w:t>
      </w:r>
    </w:p>
    <w:p>
      <w:pPr>
        <w:spacing w:before="78" w:after="78"/>
        <w:ind w:firstLine="480"/>
      </w:pPr>
      <w:r>
        <w:rPr>
          <w:rFonts w:hint="eastAsia"/>
        </w:rPr>
        <w:t>提供小程序业务办理查询入口：通过电话号码/姓名的身份验证，查询自己登记的信访业务办理进度。</w:t>
      </w:r>
    </w:p>
    <w:p>
      <w:pPr>
        <w:spacing w:before="78" w:after="78"/>
        <w:ind w:firstLine="480"/>
      </w:pPr>
      <w:r>
        <w:rPr>
          <w:rFonts w:hint="eastAsia"/>
        </w:rPr>
        <w:t>业务类型筛选：可以通过业务办理已完结/未完结的业务办理进度，筛选自己提交的业务办理进度。</w:t>
      </w:r>
    </w:p>
    <w:p>
      <w:pPr>
        <w:pStyle w:val="6"/>
        <w:rPr>
          <w:lang w:val="zh-CN"/>
        </w:rPr>
      </w:pPr>
      <w:r>
        <w:rPr>
          <w:rFonts w:hint="eastAsia"/>
          <w:lang w:val="zh-CN"/>
        </w:rPr>
        <w:t>信访业务受理</w:t>
      </w:r>
    </w:p>
    <w:p>
      <w:pPr>
        <w:spacing w:before="78" w:after="78"/>
        <w:ind w:firstLine="480"/>
      </w:pPr>
      <w:r>
        <w:rPr>
          <w:rFonts w:hint="eastAsia"/>
        </w:rPr>
        <w:t>提供小程序业务受理便捷窗口：基层工作人员通过账号登陆，填写需要登记的业务基础功能，例如信访人信息，信访事件，信访目的。提供信访受理填写固定模板。</w:t>
      </w:r>
    </w:p>
    <w:p>
      <w:pPr>
        <w:pStyle w:val="6"/>
        <w:rPr>
          <w:lang w:val="zh-CN"/>
        </w:rPr>
      </w:pPr>
      <w:r>
        <w:rPr>
          <w:rFonts w:hint="eastAsia"/>
          <w:lang w:val="zh-CN"/>
        </w:rPr>
        <w:t>信访平台便捷入口</w:t>
      </w:r>
    </w:p>
    <w:p>
      <w:pPr>
        <w:spacing w:before="78" w:after="78"/>
        <w:ind w:firstLine="480"/>
      </w:pPr>
      <w:r>
        <w:rPr>
          <w:rFonts w:hint="eastAsia"/>
        </w:rPr>
        <w:t>提供信访办其他业务平台/受理平台的登陆入口。</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信访业务系统建设</w:t>
      </w:r>
    </w:p>
    <w:p>
      <w:pPr>
        <w:pStyle w:val="6"/>
        <w:rPr>
          <w:lang w:val="zh-CN"/>
        </w:rPr>
      </w:pPr>
      <w:r>
        <w:rPr>
          <w:rFonts w:hint="eastAsia"/>
          <w:lang w:val="zh-CN"/>
        </w:rPr>
        <w:t>系统概述</w:t>
      </w:r>
    </w:p>
    <w:p>
      <w:pPr>
        <w:spacing w:before="78" w:after="78"/>
        <w:ind w:firstLine="480"/>
      </w:pPr>
      <w:r>
        <w:rPr>
          <w:rFonts w:hint="eastAsia"/>
        </w:rPr>
        <w:t>达州市县乡村基层信访业务平台：与现在已有信访省平台独立并行运行，建立达州市县乡镇基层特色信访受理业务平台，从受理、案件办结（业务人员操作录入）、案件回访的内部闭环业务平台，与省信访平台进行数据对接。与智慧信访大数据决策分析展示平台进行数据对接。信访业务系统达到目标：</w:t>
      </w:r>
    </w:p>
    <w:p>
      <w:pPr>
        <w:spacing w:before="78" w:after="78"/>
        <w:ind w:left="480" w:leftChars="200" w:firstLine="0" w:firstLineChars="0"/>
      </w:pPr>
      <w:r>
        <w:rPr>
          <w:rFonts w:hint="eastAsia"/>
        </w:rPr>
        <w:t>1)</w:t>
      </w:r>
      <w:r>
        <w:rPr>
          <w:rFonts w:hint="eastAsia"/>
        </w:rPr>
        <w:tab/>
      </w:r>
      <w:r>
        <w:rPr>
          <w:rFonts w:hint="eastAsia"/>
        </w:rPr>
        <w:t>为信访业务提供台账管理；</w:t>
      </w:r>
    </w:p>
    <w:p>
      <w:pPr>
        <w:spacing w:before="78" w:after="78"/>
        <w:ind w:left="480" w:leftChars="200" w:firstLine="0" w:firstLineChars="0"/>
      </w:pPr>
      <w:r>
        <w:rPr>
          <w:rFonts w:hint="eastAsia"/>
        </w:rPr>
        <w:t>2)</w:t>
      </w:r>
      <w:r>
        <w:rPr>
          <w:rFonts w:hint="eastAsia"/>
        </w:rPr>
        <w:tab/>
      </w:r>
      <w:r>
        <w:rPr>
          <w:rFonts w:hint="eastAsia"/>
        </w:rPr>
        <w:t>解决基层老百姓诉求无痕、无响应问题；</w:t>
      </w:r>
    </w:p>
    <w:p>
      <w:pPr>
        <w:spacing w:before="78" w:after="78"/>
        <w:ind w:left="480" w:leftChars="200" w:firstLine="0" w:firstLineChars="0"/>
      </w:pPr>
      <w:r>
        <w:rPr>
          <w:rFonts w:hint="eastAsia"/>
        </w:rPr>
        <w:t>3)</w:t>
      </w:r>
      <w:r>
        <w:rPr>
          <w:rFonts w:hint="eastAsia"/>
        </w:rPr>
        <w:tab/>
      </w:r>
      <w:r>
        <w:rPr>
          <w:rFonts w:hint="eastAsia"/>
        </w:rPr>
        <w:t>对信访业务全流程全业务管理；</w:t>
      </w:r>
    </w:p>
    <w:p>
      <w:pPr>
        <w:spacing w:before="78" w:after="78"/>
        <w:ind w:left="480" w:leftChars="200" w:firstLine="0" w:firstLineChars="0"/>
      </w:pPr>
      <w:r>
        <w:rPr>
          <w:rFonts w:hint="eastAsia"/>
        </w:rPr>
        <w:t>4)</w:t>
      </w:r>
      <w:r>
        <w:rPr>
          <w:rFonts w:hint="eastAsia"/>
        </w:rPr>
        <w:tab/>
      </w:r>
      <w:r>
        <w:rPr>
          <w:rFonts w:hint="eastAsia"/>
        </w:rPr>
        <w:t>为信访大数据分析提供基层信访原始数据，精准分析老百姓的真实诉求。</w:t>
      </w:r>
    </w:p>
    <w:p>
      <w:pPr>
        <w:spacing w:before="78" w:after="78"/>
        <w:ind w:left="480" w:leftChars="200" w:firstLine="0" w:firstLineChars="0"/>
      </w:pPr>
      <w:r>
        <w:rPr>
          <w:rFonts w:hint="eastAsia"/>
        </w:rPr>
        <w:t>信访业务系统功能：</w:t>
      </w:r>
    </w:p>
    <w:p>
      <w:pPr>
        <w:pStyle w:val="6"/>
        <w:rPr>
          <w:lang w:val="zh-CN"/>
        </w:rPr>
      </w:pPr>
      <w:r>
        <w:rPr>
          <w:rFonts w:hint="eastAsia"/>
          <w:lang w:val="zh-CN"/>
        </w:rPr>
        <w:t>信访公告管理</w:t>
      </w:r>
    </w:p>
    <w:p>
      <w:pPr>
        <w:spacing w:before="78" w:after="78"/>
        <w:ind w:firstLine="480"/>
      </w:pPr>
      <w:r>
        <w:rPr>
          <w:rFonts w:hint="eastAsia"/>
        </w:rPr>
        <w:t>1）提供各公开公告文件的上传/下载/预览，方便信访工作的及时传达。</w:t>
      </w:r>
    </w:p>
    <w:p>
      <w:pPr>
        <w:spacing w:before="78" w:after="78"/>
        <w:ind w:firstLine="480"/>
      </w:pPr>
      <w:r>
        <w:rPr>
          <w:rFonts w:hint="eastAsia"/>
        </w:rPr>
        <w:t>2）提供公告按照时间查询。</w:t>
      </w:r>
    </w:p>
    <w:p>
      <w:pPr>
        <w:pStyle w:val="6"/>
        <w:rPr>
          <w:lang w:val="zh-CN"/>
        </w:rPr>
      </w:pPr>
      <w:r>
        <w:rPr>
          <w:rFonts w:hint="eastAsia"/>
          <w:lang w:val="zh-CN"/>
        </w:rPr>
        <w:t>信访案件受理</w:t>
      </w:r>
    </w:p>
    <w:p>
      <w:pPr>
        <w:spacing w:before="78" w:after="78"/>
        <w:ind w:left="480" w:leftChars="200" w:firstLine="0" w:firstLineChars="0"/>
      </w:pPr>
      <w:r>
        <w:rPr>
          <w:rFonts w:hint="eastAsia"/>
        </w:rPr>
        <w:t>1）信访业务录入：提供基层信访工作人员的信访台账管理功能。</w:t>
      </w:r>
    </w:p>
    <w:p>
      <w:pPr>
        <w:spacing w:before="78" w:after="78"/>
        <w:ind w:left="480" w:leftChars="200" w:firstLine="0" w:firstLineChars="0"/>
      </w:pPr>
      <w:r>
        <w:rPr>
          <w:rFonts w:hint="eastAsia"/>
        </w:rPr>
        <w:t>2）录音功能：平台提供信访过程中的录音启动功能，为线下补录完整信访信息追溯事件源头，业务办理留痕，量化信访工作、监管信访沟通过程。</w:t>
      </w:r>
    </w:p>
    <w:p>
      <w:pPr>
        <w:pStyle w:val="6"/>
        <w:rPr>
          <w:lang w:val="zh-CN"/>
        </w:rPr>
      </w:pPr>
      <w:r>
        <w:rPr>
          <w:rFonts w:hint="eastAsia"/>
          <w:lang w:val="zh-CN"/>
        </w:rPr>
        <w:t>基层信访台账管理</w:t>
      </w:r>
    </w:p>
    <w:p>
      <w:pPr>
        <w:spacing w:before="78" w:after="78"/>
        <w:ind w:left="480" w:leftChars="200" w:firstLine="0" w:firstLineChars="0"/>
      </w:pPr>
      <w:r>
        <w:rPr>
          <w:rFonts w:hint="eastAsia"/>
        </w:rPr>
        <w:t>1）信访办理流程：信访办内部案件流转，由经办人从查看，办理完结，群众回访。提供信访事项记录即办理完结功能（也即只做信访事项的登记）。</w:t>
      </w:r>
    </w:p>
    <w:p>
      <w:pPr>
        <w:spacing w:before="78" w:after="78"/>
        <w:ind w:left="480" w:leftChars="200" w:firstLine="0" w:firstLineChars="0"/>
      </w:pPr>
      <w:r>
        <w:rPr>
          <w:rFonts w:hint="eastAsia"/>
        </w:rPr>
        <w:t>2）信访量台账：信访台账里可以看到当年各月份的信访量台账情况，也可以切换查看历史年份的信访量台账。</w:t>
      </w:r>
    </w:p>
    <w:p>
      <w:pPr>
        <w:spacing w:before="78" w:after="78"/>
        <w:ind w:left="480" w:leftChars="200" w:firstLine="0" w:firstLineChars="0"/>
      </w:pPr>
      <w:r>
        <w:rPr>
          <w:rFonts w:hint="eastAsia"/>
        </w:rPr>
        <w:t>3）信访事件管理：提供信访案件的查询和管理。</w:t>
      </w:r>
    </w:p>
    <w:p>
      <w:pPr>
        <w:spacing w:before="78" w:after="78"/>
        <w:ind w:left="480" w:leftChars="200" w:firstLine="0" w:firstLineChars="0"/>
      </w:pPr>
      <w:r>
        <w:rPr>
          <w:rFonts w:hint="eastAsia"/>
        </w:rPr>
        <w:t>4）信访人管理：提供信访人的查询和管理。</w:t>
      </w:r>
    </w:p>
    <w:p>
      <w:pPr>
        <w:pStyle w:val="6"/>
        <w:rPr>
          <w:lang w:val="zh-CN"/>
        </w:rPr>
      </w:pPr>
      <w:r>
        <w:rPr>
          <w:rFonts w:hint="eastAsia"/>
          <w:lang w:val="zh-CN"/>
        </w:rPr>
        <w:t>统计查询</w:t>
      </w:r>
    </w:p>
    <w:p>
      <w:pPr>
        <w:spacing w:before="78" w:after="78"/>
        <w:ind w:firstLine="480"/>
      </w:pPr>
      <w:r>
        <w:rPr>
          <w:rFonts w:hint="eastAsia"/>
        </w:rPr>
        <w:t>通过不同类目的查询条件筛选查询包括信访人信息，信访事件信息，根据报表模板要求，可以查询下载报表。</w:t>
      </w:r>
    </w:p>
    <w:p>
      <w:pPr>
        <w:pStyle w:val="6"/>
        <w:rPr>
          <w:lang w:val="zh-CN"/>
        </w:rPr>
      </w:pPr>
      <w:r>
        <w:rPr>
          <w:rFonts w:hint="eastAsia"/>
          <w:lang w:val="zh-CN"/>
        </w:rPr>
        <w:t>知识库管理</w:t>
      </w:r>
    </w:p>
    <w:p>
      <w:pPr>
        <w:spacing w:before="78" w:after="78"/>
        <w:ind w:firstLine="480"/>
      </w:pPr>
      <w:r>
        <w:rPr>
          <w:rFonts w:hint="eastAsia"/>
        </w:rPr>
        <w:t>管理信访知识库，提供知识库条件查询、新增、删除、审核等功能。</w:t>
      </w:r>
    </w:p>
    <w:p>
      <w:pPr>
        <w:spacing w:before="78" w:after="78"/>
        <w:ind w:firstLine="480"/>
      </w:pPr>
      <w:r>
        <w:rPr>
          <w:rFonts w:hint="eastAsia"/>
        </w:rPr>
        <w:t>1.域管理</w:t>
      </w:r>
    </w:p>
    <w:p>
      <w:pPr>
        <w:spacing w:before="78" w:after="78"/>
        <w:ind w:firstLine="480"/>
      </w:pPr>
      <w:r>
        <w:rPr>
          <w:rFonts w:hint="eastAsia"/>
        </w:rPr>
        <w:t>行政域管理。省、市州、区县（市）三级分行政域管理。</w:t>
      </w:r>
    </w:p>
    <w:p>
      <w:pPr>
        <w:spacing w:before="78" w:after="78"/>
        <w:ind w:firstLine="480"/>
      </w:pPr>
      <w:r>
        <w:rPr>
          <w:rFonts w:hint="eastAsia"/>
        </w:rPr>
        <w:t>专业口域管理。按专业口分专业域管理。</w:t>
      </w:r>
    </w:p>
    <w:p>
      <w:pPr>
        <w:spacing w:before="78" w:after="78"/>
        <w:ind w:firstLine="480"/>
      </w:pPr>
      <w:r>
        <w:rPr>
          <w:rFonts w:hint="eastAsia"/>
        </w:rPr>
        <w:t>2.知识库使用角色管理</w:t>
      </w:r>
    </w:p>
    <w:p>
      <w:pPr>
        <w:spacing w:before="78" w:after="78"/>
        <w:ind w:firstLine="480"/>
      </w:pPr>
      <w:r>
        <w:rPr>
          <w:rFonts w:hint="eastAsia"/>
        </w:rPr>
        <w:t xml:space="preserve">     知识库使用角色管理，热线坐席工作人员，行政人员、市民。</w:t>
      </w:r>
    </w:p>
    <w:p>
      <w:pPr>
        <w:spacing w:before="78" w:after="78"/>
        <w:ind w:firstLine="480"/>
      </w:pPr>
      <w:r>
        <w:rPr>
          <w:rFonts w:hint="eastAsia"/>
        </w:rPr>
        <w:t xml:space="preserve">     知识库接口角色管理，知识库内容交互接口角色定义及管理。</w:t>
      </w:r>
    </w:p>
    <w:p>
      <w:pPr>
        <w:spacing w:before="78" w:after="78"/>
        <w:ind w:firstLine="480"/>
      </w:pPr>
      <w:r>
        <w:rPr>
          <w:rFonts w:hint="eastAsia"/>
        </w:rPr>
        <w:t>3.多渠道知识内容输出管理</w:t>
      </w:r>
    </w:p>
    <w:p>
      <w:pPr>
        <w:spacing w:before="78" w:after="78"/>
        <w:ind w:firstLine="480"/>
      </w:pPr>
      <w:r>
        <w:rPr>
          <w:rFonts w:hint="eastAsia"/>
        </w:rPr>
        <w:t xml:space="preserve">    多渠道行业知识库内容输出管理，确保内容的权威性和正确性。</w:t>
      </w:r>
    </w:p>
    <w:p>
      <w:pPr>
        <w:spacing w:before="78" w:after="78"/>
        <w:ind w:firstLine="480"/>
      </w:pPr>
      <w:r>
        <w:rPr>
          <w:rFonts w:hint="eastAsia"/>
        </w:rPr>
        <w:t>4.多渠道知识统一管理</w:t>
      </w:r>
    </w:p>
    <w:p>
      <w:pPr>
        <w:spacing w:before="78" w:after="78"/>
        <w:ind w:firstLine="480"/>
      </w:pPr>
      <w:r>
        <w:rPr>
          <w:rFonts w:hint="eastAsia"/>
        </w:rPr>
        <w:t>多热线行业知识库统一管理，以信访知识库云平台知识一个标准库，其他库作为专业（行业）分库。</w:t>
      </w:r>
    </w:p>
    <w:p>
      <w:pPr>
        <w:spacing w:before="78" w:after="78"/>
        <w:ind w:firstLine="480"/>
      </w:pPr>
      <w:r>
        <w:rPr>
          <w:rFonts w:hint="eastAsia"/>
        </w:rPr>
        <w:t>多渠道知识统一管理。作为其他业务系统的底层知识库支撑平台，收集、存储、共享、互动知识等统一多渠道引擎管理。</w:t>
      </w:r>
    </w:p>
    <w:p>
      <w:pPr>
        <w:spacing w:before="78" w:after="78"/>
        <w:ind w:firstLine="480"/>
      </w:pPr>
      <w:r>
        <w:rPr>
          <w:rFonts w:hint="eastAsia"/>
        </w:rPr>
        <w:t>5.热点知识管理</w:t>
      </w:r>
    </w:p>
    <w:p>
      <w:pPr>
        <w:spacing w:before="78" w:after="78"/>
        <w:ind w:firstLine="480"/>
      </w:pPr>
      <w:r>
        <w:rPr>
          <w:rFonts w:hint="eastAsia"/>
        </w:rPr>
        <w:t xml:space="preserve">   热线知识管理。当前老百姓咨询热点的知识内容、当前检索热点内容等管理，以多维参数建立热点知识模型，将热点知识内容优先展示和检索优先显示。</w:t>
      </w:r>
    </w:p>
    <w:p>
      <w:pPr>
        <w:spacing w:before="78" w:after="78"/>
        <w:ind w:firstLine="480"/>
      </w:pPr>
      <w:r>
        <w:rPr>
          <w:rFonts w:hint="eastAsia"/>
        </w:rPr>
        <w:t>6.知识库内容敏感词管理</w:t>
      </w:r>
    </w:p>
    <w:p>
      <w:pPr>
        <w:spacing w:before="78" w:after="78"/>
        <w:ind w:firstLine="480"/>
      </w:pPr>
      <w:r>
        <w:rPr>
          <w:rFonts w:hint="eastAsia"/>
        </w:rPr>
        <w:t xml:space="preserve">    知识库云平台是一个公共知识服务系统，内容不能出现敏感内容或国家不允许的内容。通过敏感词的管理和使用，实现知识库内容附合国家政策要求。</w:t>
      </w:r>
    </w:p>
    <w:p>
      <w:pPr>
        <w:spacing w:before="78" w:after="78"/>
        <w:ind w:firstLine="480"/>
      </w:pPr>
      <w:r>
        <w:rPr>
          <w:rFonts w:hint="eastAsia"/>
        </w:rPr>
        <w:t>7.编读互动，高还原编辑</w:t>
      </w:r>
    </w:p>
    <w:p>
      <w:pPr>
        <w:spacing w:before="78" w:after="78"/>
        <w:ind w:firstLine="480"/>
      </w:pPr>
      <w:r>
        <w:rPr>
          <w:rFonts w:hint="eastAsia"/>
        </w:rPr>
        <w:t xml:space="preserve">    知识库内容提供者和使用者互动修改管理，实现知识库内容准确性达到100%；使用多媒体知识库编辑工具，实现编辑和使用查看格式样式基本一致。</w:t>
      </w:r>
    </w:p>
    <w:p>
      <w:pPr>
        <w:spacing w:before="78" w:after="78"/>
        <w:ind w:firstLine="480"/>
      </w:pPr>
      <w:r>
        <w:rPr>
          <w:rFonts w:hint="eastAsia"/>
        </w:rPr>
        <w:t>8.知识库全生命周期管理</w:t>
      </w:r>
    </w:p>
    <w:p>
      <w:pPr>
        <w:spacing w:before="78" w:after="78"/>
        <w:ind w:firstLine="480"/>
      </w:pPr>
      <w:r>
        <w:rPr>
          <w:rFonts w:hint="eastAsia"/>
        </w:rPr>
        <w:t>知识库全生命周期管理。管理知识库生命周期构建管理，具体包括知识知识审核、发布、启用、停用全流程控制管理。</w:t>
      </w:r>
    </w:p>
    <w:p>
      <w:pPr>
        <w:spacing w:before="78" w:after="78"/>
        <w:ind w:firstLine="480"/>
      </w:pPr>
      <w:r>
        <w:rPr>
          <w:rFonts w:hint="eastAsia"/>
        </w:rPr>
        <w:t>9.多部门协同知识生产管理</w:t>
      </w:r>
    </w:p>
    <w:p>
      <w:pPr>
        <w:spacing w:before="78" w:after="78"/>
        <w:ind w:firstLine="480"/>
      </w:pPr>
      <w:r>
        <w:rPr>
          <w:rFonts w:hint="eastAsia"/>
        </w:rPr>
        <w:t>多部门协同知识生产管理。多部门多人编辑、制作同一条的知识库内容的管理。</w:t>
      </w:r>
    </w:p>
    <w:p>
      <w:pPr>
        <w:spacing w:before="78" w:after="78"/>
        <w:ind w:firstLine="480"/>
      </w:pPr>
      <w:r>
        <w:rPr>
          <w:rFonts w:hint="eastAsia"/>
        </w:rPr>
        <w:t>10.快速知识查询定位管理</w:t>
      </w:r>
    </w:p>
    <w:p>
      <w:pPr>
        <w:spacing w:before="78" w:after="78"/>
        <w:ind w:firstLine="480"/>
      </w:pPr>
      <w:r>
        <w:rPr>
          <w:rFonts w:hint="eastAsia"/>
        </w:rPr>
        <w:t>利用各个行业知识库的特点，创建分行业的知识查询智能模型并管理智能模型，实现快速知识查询定位。</w:t>
      </w:r>
    </w:p>
    <w:p>
      <w:pPr>
        <w:spacing w:before="78" w:after="78"/>
        <w:ind w:firstLine="480"/>
      </w:pPr>
      <w:r>
        <w:rPr>
          <w:rFonts w:hint="eastAsia"/>
        </w:rPr>
        <w:t>11.知识库内容检索权限控制</w:t>
      </w:r>
    </w:p>
    <w:p>
      <w:pPr>
        <w:spacing w:before="78" w:after="78"/>
        <w:ind w:firstLine="480"/>
      </w:pPr>
      <w:r>
        <w:rPr>
          <w:rFonts w:hint="eastAsia"/>
        </w:rPr>
        <w:t>知识库内容检索权限控制。知识库内容检索权限管理，实现知识库按开放等级管理和检索控制；实现高敏感度的内容，具有权限的查询者才能检索。</w:t>
      </w:r>
    </w:p>
    <w:p>
      <w:pPr>
        <w:spacing w:before="78" w:after="78"/>
        <w:ind w:firstLine="480"/>
      </w:pPr>
      <w:r>
        <w:rPr>
          <w:rFonts w:hint="eastAsia"/>
        </w:rPr>
        <w:t>12.知识库内容分域分行业增加删除修改</w:t>
      </w:r>
    </w:p>
    <w:p>
      <w:pPr>
        <w:spacing w:before="78" w:after="78"/>
        <w:ind w:firstLine="480"/>
      </w:pPr>
      <w:r>
        <w:rPr>
          <w:rFonts w:hint="eastAsia"/>
        </w:rPr>
        <w:t>知识库内容分域分行业编辑功能，包括增加、删除、修改功能。</w:t>
      </w:r>
    </w:p>
    <w:p>
      <w:pPr>
        <w:spacing w:before="78" w:after="78"/>
        <w:ind w:firstLine="480"/>
      </w:pPr>
      <w:r>
        <w:rPr>
          <w:rFonts w:hint="eastAsia"/>
        </w:rPr>
        <w:t>13.知识库内容分域分行业批量处理</w:t>
      </w:r>
    </w:p>
    <w:p>
      <w:pPr>
        <w:spacing w:before="78" w:after="78"/>
        <w:ind w:firstLine="480"/>
      </w:pPr>
      <w:r>
        <w:rPr>
          <w:rFonts w:hint="eastAsia"/>
        </w:rPr>
        <w:t>知识库内容分域分行业批量处理功能，包括批量导入、批量删除功能。</w:t>
      </w:r>
    </w:p>
    <w:p>
      <w:pPr>
        <w:spacing w:before="78" w:after="78"/>
        <w:ind w:firstLine="480"/>
      </w:pPr>
      <w:r>
        <w:rPr>
          <w:rFonts w:hint="eastAsia"/>
        </w:rPr>
        <w:t>14.知识库分域分行业管理申请管理</w:t>
      </w:r>
    </w:p>
    <w:p>
      <w:pPr>
        <w:spacing w:before="78" w:after="78"/>
        <w:ind w:firstLine="480"/>
      </w:pPr>
      <w:r>
        <w:rPr>
          <w:rFonts w:hint="eastAsia"/>
        </w:rPr>
        <w:t>知识库分域分行业管理申请流程管理。各个使用单位申请使用知识库系统管理，包括申请、审批、自动开通账户或停用账户管理。</w:t>
      </w:r>
    </w:p>
    <w:p>
      <w:pPr>
        <w:spacing w:before="78" w:after="78"/>
        <w:ind w:firstLine="480"/>
      </w:pPr>
      <w:r>
        <w:rPr>
          <w:rFonts w:hint="eastAsia"/>
        </w:rPr>
        <w:t>15.知识库分域分行业管理审核流程管理</w:t>
      </w:r>
    </w:p>
    <w:p>
      <w:pPr>
        <w:spacing w:before="78" w:after="78"/>
        <w:ind w:firstLine="480"/>
      </w:pPr>
      <w:r>
        <w:rPr>
          <w:rFonts w:hint="eastAsia"/>
        </w:rPr>
        <w:t>知识库分域分行业管理内容审核管理。省市县多部门、多行业使用知识库内容审核流程管理，包括审核人、审核对应行政级别和行业知识库内容。</w:t>
      </w:r>
    </w:p>
    <w:p>
      <w:pPr>
        <w:spacing w:before="78" w:after="78"/>
        <w:ind w:firstLine="480"/>
      </w:pPr>
      <w:r>
        <w:rPr>
          <w:rFonts w:hint="eastAsia"/>
        </w:rPr>
        <w:t>16.知识库个性化收藏夹管理</w:t>
      </w:r>
    </w:p>
    <w:p>
      <w:pPr>
        <w:spacing w:before="78" w:after="78"/>
        <w:ind w:firstLine="480"/>
      </w:pPr>
      <w:r>
        <w:rPr>
          <w:rFonts w:hint="eastAsia"/>
        </w:rPr>
        <w:t>知识库个性化收藏夹管理。为坐席人员、知识库管理人员提供个性化的知识库收藏夹管理，包括添加收藏夹、移除收藏夹、内容排序等功能。</w:t>
      </w:r>
    </w:p>
    <w:p>
      <w:pPr>
        <w:spacing w:before="78" w:after="78"/>
        <w:ind w:firstLine="480"/>
      </w:pPr>
      <w:r>
        <w:rPr>
          <w:rFonts w:hint="eastAsia"/>
        </w:rPr>
        <w:t>17.知识库分域分行业评价管理</w:t>
      </w:r>
    </w:p>
    <w:p>
      <w:pPr>
        <w:spacing w:before="78" w:after="78"/>
        <w:ind w:firstLine="480"/>
      </w:pPr>
      <w:r>
        <w:rPr>
          <w:rFonts w:hint="eastAsia"/>
        </w:rPr>
        <w:t>知识库内容分域分行业评价管理，包括评价、评价删除、评价回复等功能。</w:t>
      </w:r>
    </w:p>
    <w:p>
      <w:pPr>
        <w:spacing w:before="78" w:after="78"/>
        <w:ind w:firstLine="480"/>
      </w:pPr>
      <w:r>
        <w:rPr>
          <w:rFonts w:hint="eastAsia"/>
        </w:rPr>
        <w:t>18.知识库使用培训与考试管理</w:t>
      </w:r>
    </w:p>
    <w:p>
      <w:pPr>
        <w:spacing w:before="78" w:after="78"/>
        <w:ind w:firstLine="480"/>
      </w:pPr>
      <w:r>
        <w:rPr>
          <w:rFonts w:hint="eastAsia"/>
        </w:rPr>
        <w:t>多热线整合后，知识库的内容多、专业度高，需要对坐席人员加强培训和考核管理。功能包括，培训课程管理、培训人员管理、自动考题生成管理、自动生成成绩管理等功能。</w:t>
      </w:r>
    </w:p>
    <w:p>
      <w:pPr>
        <w:spacing w:before="78" w:after="78"/>
        <w:ind w:firstLine="480"/>
      </w:pPr>
      <w:r>
        <w:rPr>
          <w:rFonts w:hint="eastAsia"/>
        </w:rPr>
        <w:t>19.日志管理</w:t>
      </w:r>
    </w:p>
    <w:p>
      <w:pPr>
        <w:spacing w:before="78" w:after="78"/>
        <w:ind w:firstLine="480"/>
      </w:pPr>
      <w:r>
        <w:rPr>
          <w:rFonts w:hint="eastAsia"/>
        </w:rPr>
        <w:t>知识库运行日志管理、操作日志管理、审核日志管理等日志管理，包括日志查询、日志审计等功能。</w:t>
      </w:r>
    </w:p>
    <w:p>
      <w:pPr>
        <w:spacing w:before="78" w:after="78"/>
        <w:ind w:firstLine="480"/>
      </w:pPr>
      <w:r>
        <w:rPr>
          <w:rFonts w:hint="eastAsia"/>
        </w:rPr>
        <w:t>20.知识库分域分行业统计管理</w:t>
      </w:r>
    </w:p>
    <w:p>
      <w:pPr>
        <w:spacing w:before="78" w:after="78"/>
        <w:ind w:firstLine="480"/>
      </w:pPr>
      <w:r>
        <w:rPr>
          <w:rFonts w:hint="eastAsia"/>
        </w:rPr>
        <w:t xml:space="preserve">   知识库分域分行业统计查询管理，包括内容提交报表、内容审核报表、查询使用报表等功能。</w:t>
      </w:r>
    </w:p>
    <w:p>
      <w:pPr>
        <w:pStyle w:val="6"/>
        <w:rPr>
          <w:lang w:val="zh-CN"/>
        </w:rPr>
      </w:pPr>
      <w:r>
        <w:rPr>
          <w:rFonts w:hint="eastAsia"/>
          <w:lang w:val="zh-CN"/>
        </w:rPr>
        <w:t>法律法规库管理</w:t>
      </w:r>
    </w:p>
    <w:p>
      <w:pPr>
        <w:spacing w:before="78" w:after="78"/>
        <w:ind w:firstLine="480"/>
      </w:pPr>
      <w:r>
        <w:rPr>
          <w:rFonts w:hint="eastAsia"/>
        </w:rPr>
        <w:t>管理及展示入库后的法律法规列表信息，提供查询、新增、删除等功能。</w:t>
      </w:r>
    </w:p>
    <w:p>
      <w:pPr>
        <w:pStyle w:val="6"/>
        <w:rPr>
          <w:lang w:val="zh-CN"/>
        </w:rPr>
      </w:pPr>
      <w:r>
        <w:rPr>
          <w:rFonts w:hint="eastAsia"/>
          <w:lang w:val="zh-CN"/>
        </w:rPr>
        <w:t>案例库管理</w:t>
      </w:r>
    </w:p>
    <w:p>
      <w:pPr>
        <w:spacing w:before="78" w:after="78"/>
        <w:ind w:firstLine="480"/>
      </w:pPr>
      <w:r>
        <w:rPr>
          <w:rFonts w:hint="eastAsia"/>
        </w:rPr>
        <w:t>用于管理信访案例库列表，包含了案例基本信息，处理过程，解决方案等信息管理，提供了查询、新增、删除等功能。</w:t>
      </w:r>
    </w:p>
    <w:p>
      <w:pPr>
        <w:pStyle w:val="5"/>
        <w:tabs>
          <w:tab w:val="left" w:pos="1080"/>
        </w:tabs>
        <w:spacing w:line="360" w:lineRule="auto"/>
        <w:ind w:left="0"/>
        <w:rPr>
          <w:rFonts w:ascii="Times New Roman" w:hAnsi="Times New Roman" w:cstheme="minorBidi"/>
          <w:sz w:val="32"/>
          <w:szCs w:val="32"/>
        </w:rPr>
      </w:pPr>
      <w:r>
        <w:rPr>
          <w:rFonts w:ascii="Times New Roman" w:hAnsi="Times New Roman" w:cstheme="minorBidi"/>
          <w:sz w:val="32"/>
          <w:szCs w:val="32"/>
        </w:rPr>
        <w:t xml:space="preserve"> </w:t>
      </w:r>
      <w:r>
        <w:rPr>
          <w:rFonts w:hint="eastAsia" w:ascii="Times New Roman" w:hAnsi="Times New Roman" w:cstheme="minorBidi"/>
          <w:sz w:val="32"/>
          <w:szCs w:val="32"/>
        </w:rPr>
        <w:t>智能回访系统建设</w:t>
      </w:r>
    </w:p>
    <w:p>
      <w:pPr>
        <w:pStyle w:val="6"/>
        <w:rPr>
          <w:lang w:val="zh-CN"/>
        </w:rPr>
      </w:pPr>
      <w:r>
        <w:rPr>
          <w:rFonts w:hint="eastAsia"/>
          <w:lang w:val="zh-CN"/>
        </w:rPr>
        <w:t>系统概述</w:t>
      </w:r>
    </w:p>
    <w:p>
      <w:pPr>
        <w:spacing w:before="78" w:after="78"/>
        <w:ind w:firstLine="480"/>
      </w:pPr>
      <w:r>
        <w:rPr>
          <w:rFonts w:hint="eastAsia"/>
        </w:rPr>
        <w:t>为了《达州市信访事项处理情况回访办法（试行）》文件有效执行，建设智能回访系统，切实推进问题解决，为信访回访事项处理过程留痕。智能回访系统通过回访过程记录，回访自动及执行情况统计，回访过程录音等，让领导及工作人员及时了解信访问题推进情况、信访事项的处理落实情况，并以此控制重复信访增量，真正实现案结了事，群众满意，息诉罢访。</w:t>
      </w:r>
    </w:p>
    <w:p>
      <w:pPr>
        <w:pStyle w:val="6"/>
        <w:rPr>
          <w:lang w:val="zh-CN"/>
        </w:rPr>
      </w:pPr>
      <w:r>
        <w:rPr>
          <w:rFonts w:hint="eastAsia"/>
          <w:lang w:val="zh-CN"/>
        </w:rPr>
        <w:t>软交换语音通信系统</w:t>
      </w:r>
    </w:p>
    <w:p>
      <w:pPr>
        <w:spacing w:before="78" w:after="78"/>
        <w:ind w:firstLine="480"/>
      </w:pPr>
      <w:r>
        <w:rPr>
          <w:rFonts w:hint="eastAsia"/>
        </w:rPr>
        <w:t>软交换语音通信系统提供了智慧信访大数据系统所需要的语音通信服务能力，是智能回访系统的核心处理系统和语音资源支撑。主要包括语音接入网关、IPPBX、IPIVR、CTI等软硬件系统组成。</w:t>
      </w:r>
    </w:p>
    <w:p>
      <w:pPr>
        <w:spacing w:before="78" w:after="78"/>
        <w:ind w:firstLine="480"/>
      </w:pPr>
      <w:r>
        <w:rPr>
          <w:rFonts w:hint="eastAsia"/>
        </w:rPr>
        <w:t>1）平台语音接入能力要求</w:t>
      </w:r>
    </w:p>
    <w:p>
      <w:pPr>
        <w:spacing w:before="78" w:after="78"/>
        <w:ind w:firstLine="480"/>
      </w:pPr>
      <w:r>
        <w:rPr>
          <w:rFonts w:hint="eastAsia"/>
        </w:rPr>
        <w:t>接入设备能将固网和移动网的呼叫直接接入呼叫中心，呼叫事件由接入将接入设备上报CTI。呼叫接入过程无明显时延，呼叫接通后主被叫能正常通话，双向声音清晰。接入设备应能正确接收和转发主被叫号码。</w:t>
      </w:r>
    </w:p>
    <w:p>
      <w:pPr>
        <w:spacing w:before="78" w:after="78"/>
        <w:ind w:firstLine="480"/>
      </w:pPr>
      <w:r>
        <w:rPr>
          <w:rFonts w:hint="eastAsia"/>
        </w:rPr>
        <w:t>接入设备应支持号码分析、号码变换（包括主、被叫号码在任意位置的增、删、改）、呼叫控制、过负荷控制等基本功能。</w:t>
      </w:r>
    </w:p>
    <w:p>
      <w:pPr>
        <w:spacing w:before="78" w:after="78"/>
        <w:ind w:firstLine="480"/>
      </w:pPr>
      <w:r>
        <w:rPr>
          <w:rFonts w:hint="eastAsia"/>
        </w:rPr>
        <w:t>2）PSTN电话座席分机接入能力要求</w:t>
      </w:r>
    </w:p>
    <w:p>
      <w:pPr>
        <w:spacing w:before="78" w:after="78"/>
        <w:ind w:firstLine="480"/>
      </w:pPr>
      <w:r>
        <w:rPr>
          <w:rFonts w:hint="eastAsia"/>
        </w:rPr>
        <w:t>接入平台要具备将公网固定电话或移动电话作为座席分机接入系统的能力，以实现公网座席服务。</w:t>
      </w:r>
    </w:p>
    <w:p>
      <w:pPr>
        <w:spacing w:before="78" w:after="78"/>
        <w:ind w:firstLine="480"/>
      </w:pPr>
      <w:r>
        <w:rPr>
          <w:rFonts w:hint="eastAsia"/>
        </w:rPr>
        <w:t>3）标准CTI协议支持能力要求</w:t>
      </w:r>
    </w:p>
    <w:p>
      <w:pPr>
        <w:spacing w:before="78" w:after="78"/>
        <w:ind w:firstLine="720" w:firstLineChars="300"/>
      </w:pPr>
      <w:r>
        <w:rPr>
          <w:rFonts w:hint="eastAsia"/>
        </w:rPr>
        <w:t>接入设备需支持标准CTI协议，如CSTA-PhaseII，JTAPI等。使CTI系统可以完成对异构接入设备的控制，实现呼叫与控制分离。</w:t>
      </w:r>
    </w:p>
    <w:p>
      <w:pPr>
        <w:spacing w:before="78" w:after="78"/>
        <w:ind w:firstLine="480"/>
      </w:pPr>
      <w:r>
        <w:rPr>
          <w:rFonts w:hint="eastAsia"/>
        </w:rPr>
        <w:t>4）接入中继网关支持多种信令协议，实现传统信令SS7、PRI、1号信令与SIP协议之间转换。它支持多种语音编解码，提供完善的编解码能力，为用户提供高质量语音的同时提高中继资源的使用效率。</w:t>
      </w:r>
    </w:p>
    <w:p>
      <w:pPr>
        <w:spacing w:before="78" w:after="78"/>
        <w:ind w:firstLine="480"/>
      </w:pPr>
      <w:r>
        <w:rPr>
          <w:rFonts w:hint="eastAsia"/>
        </w:rPr>
        <w:t>5）IPPBX支持高可靠部署，支持对接SIP中继等能力。</w:t>
      </w:r>
    </w:p>
    <w:p>
      <w:pPr>
        <w:spacing w:before="78" w:after="78"/>
        <w:ind w:firstLine="480"/>
      </w:pPr>
      <w:r>
        <w:rPr>
          <w:rFonts w:hint="eastAsia"/>
        </w:rPr>
        <w:t>6）提供业务需要的录音功能。录音以语音文件的形式保存在文件服务器上，在业务控制功能的控制下，提供对整个会议录音的功能和支持对录音文件的管理等功能。要求录音成功率达到99.95%，录音成功的定义为：通话各方录音清晰、通话过程录制完整。支持将特殊录音以文件形式导出，便于携带、或做特殊意义的分类保存。</w:t>
      </w:r>
    </w:p>
    <w:p>
      <w:pPr>
        <w:pStyle w:val="6"/>
        <w:rPr>
          <w:lang w:val="zh-CN"/>
        </w:rPr>
      </w:pPr>
      <w:r>
        <w:rPr>
          <w:rFonts w:hint="eastAsia"/>
          <w:lang w:val="zh-CN"/>
        </w:rPr>
        <w:t>自动回访任务管理</w:t>
      </w:r>
    </w:p>
    <w:p>
      <w:pPr>
        <w:spacing w:before="78" w:after="78"/>
        <w:ind w:firstLine="480"/>
      </w:pPr>
      <w:r>
        <w:rPr>
          <w:rFonts w:hint="eastAsia"/>
        </w:rPr>
        <w:t>1）回访规则设定</w:t>
      </w:r>
    </w:p>
    <w:p>
      <w:pPr>
        <w:spacing w:before="78" w:after="78"/>
        <w:ind w:firstLine="480"/>
      </w:pPr>
      <w:r>
        <w:rPr>
          <w:rFonts w:hint="eastAsia"/>
        </w:rPr>
        <w:t>回访规则主要用于管理员配置的规则抽取的需回访的案卷，分配给系统进行回访。管理员也可以可根据需要，设定抽取案卷回访的案卷。</w:t>
      </w:r>
    </w:p>
    <w:p>
      <w:pPr>
        <w:spacing w:before="78" w:after="78"/>
        <w:ind w:firstLine="480"/>
      </w:pPr>
      <w:r>
        <w:rPr>
          <w:rFonts w:hint="eastAsia"/>
        </w:rPr>
        <w:t>2）执行回访任务</w:t>
      </w:r>
    </w:p>
    <w:p>
      <w:pPr>
        <w:spacing w:before="78" w:after="78"/>
        <w:ind w:firstLine="480"/>
      </w:pPr>
      <w:r>
        <w:rPr>
          <w:rFonts w:hint="eastAsia"/>
        </w:rPr>
        <w:t>进入到回访池中的案卷，系统通过多线程的智能外呼进行并行回访，自助语音服务流程调用获取需智能回访的案卷信息，并根据案卷中提供的回访号码进行外呼，通过语音提示搜集用户的按键反馈数据，记录到系统数据库中。</w:t>
      </w:r>
    </w:p>
    <w:p>
      <w:pPr>
        <w:spacing w:before="78" w:after="78"/>
        <w:ind w:firstLine="480"/>
      </w:pPr>
      <w:r>
        <w:rPr>
          <w:rFonts w:hint="eastAsia"/>
        </w:rPr>
        <w:t>3）回访结果查询</w:t>
      </w:r>
    </w:p>
    <w:p>
      <w:pPr>
        <w:spacing w:before="78" w:after="78"/>
        <w:ind w:firstLine="480"/>
      </w:pPr>
      <w:r>
        <w:rPr>
          <w:rFonts w:hint="eastAsia"/>
        </w:rPr>
        <w:t>业务系统通过相关查询接口将记录到数据库中的用户反馈信息进行对应查询并展示。</w:t>
      </w:r>
    </w:p>
    <w:p>
      <w:pPr>
        <w:spacing w:before="78" w:after="78"/>
        <w:ind w:firstLine="480"/>
      </w:pPr>
      <w:r>
        <w:t>4</w:t>
      </w:r>
      <w:r>
        <w:rPr>
          <w:rFonts w:hint="eastAsia"/>
        </w:rPr>
        <w:t>）回访事项入库：导入待回访事项，系统根据名单实现自动外呼，并保存回访结果，回访问题为所关联的信访回访模板内容；</w:t>
      </w:r>
    </w:p>
    <w:p>
      <w:pPr>
        <w:spacing w:before="78" w:after="78"/>
        <w:ind w:firstLine="480"/>
      </w:pPr>
      <w:r>
        <w:t>5</w:t>
      </w:r>
      <w:r>
        <w:rPr>
          <w:rFonts w:hint="eastAsia"/>
        </w:rPr>
        <w:t>）自动回访录音模板管理：提供可制定的录音回访模板，用户可根据需求定制。</w:t>
      </w:r>
    </w:p>
    <w:p>
      <w:pPr>
        <w:spacing w:before="78" w:after="78"/>
        <w:ind w:firstLine="480"/>
      </w:pPr>
      <w:r>
        <w:t>6</w:t>
      </w:r>
      <w:r>
        <w:rPr>
          <w:rFonts w:hint="eastAsia"/>
        </w:rPr>
        <w:t>）回访录音管理：自动回访录音文件管理，可查看播放录音文件。</w:t>
      </w:r>
    </w:p>
    <w:p>
      <w:pPr>
        <w:spacing w:before="78" w:after="78"/>
        <w:ind w:firstLine="480"/>
      </w:pPr>
      <w:r>
        <w:t>7</w:t>
      </w:r>
      <w:r>
        <w:rPr>
          <w:rFonts w:hint="eastAsia"/>
        </w:rPr>
        <w:t>）回访结果管理：根据自动回访内容，自动生成回访意见表，并标记回访件是否已完成还是待再次回访。</w:t>
      </w:r>
    </w:p>
    <w:p>
      <w:pPr>
        <w:pStyle w:val="6"/>
        <w:rPr>
          <w:lang w:val="zh-CN"/>
        </w:rPr>
      </w:pPr>
      <w:r>
        <w:rPr>
          <w:lang w:val="zh-CN"/>
        </w:rPr>
        <w:t xml:space="preserve"> </w:t>
      </w:r>
      <w:r>
        <w:rPr>
          <w:rFonts w:hint="eastAsia"/>
          <w:lang w:val="zh-CN"/>
        </w:rPr>
        <w:t>人工回访管理</w:t>
      </w:r>
    </w:p>
    <w:p>
      <w:pPr>
        <w:spacing w:before="78" w:after="78"/>
        <w:ind w:firstLine="480"/>
      </w:pPr>
      <w:r>
        <w:rPr>
          <w:rFonts w:hint="eastAsia"/>
        </w:rPr>
        <w:t>系统通过自动回访件筛选需人工回访的信件入库，通过标记的方式提醒工作人员，工作人员再进行人工回访，通过系统再次记录回访结果，系统呼通信访人和信访工作人员电话，工作人员和信访人沟通并填写回访结果，回访意见反馈表模版化，回访过程录音。</w:t>
      </w:r>
    </w:p>
    <w:p>
      <w:pPr>
        <w:spacing w:before="78" w:after="78"/>
        <w:ind w:firstLine="480"/>
      </w:pPr>
      <w:r>
        <w:t>1</w:t>
      </w:r>
      <w:r>
        <w:rPr>
          <w:rFonts w:hint="eastAsia"/>
        </w:rPr>
        <w:t>）人工电话回访</w:t>
      </w:r>
    </w:p>
    <w:p>
      <w:pPr>
        <w:pStyle w:val="43"/>
        <w:numPr>
          <w:ilvl w:val="0"/>
          <w:numId w:val="8"/>
        </w:numPr>
        <w:spacing w:before="78" w:after="78"/>
      </w:pPr>
      <w:r>
        <w:rPr>
          <w:rFonts w:hint="eastAsia"/>
        </w:rPr>
        <w:t>待回访库：需要人工回访的信件自动分类入库。提供按照时间/类型的查询。</w:t>
      </w:r>
    </w:p>
    <w:p>
      <w:pPr>
        <w:pStyle w:val="43"/>
        <w:numPr>
          <w:ilvl w:val="0"/>
          <w:numId w:val="8"/>
        </w:numPr>
        <w:spacing w:before="78" w:after="78"/>
      </w:pPr>
      <w:r>
        <w:rPr>
          <w:rFonts w:hint="eastAsia"/>
        </w:rPr>
        <w:t>回访结果查询：提供回访后结果查询，显示回访结果，回访人，回访时间。</w:t>
      </w:r>
    </w:p>
    <w:p>
      <w:pPr>
        <w:pStyle w:val="43"/>
        <w:numPr>
          <w:ilvl w:val="0"/>
          <w:numId w:val="8"/>
        </w:numPr>
        <w:spacing w:before="78" w:after="78"/>
      </w:pPr>
      <w:r>
        <w:rPr>
          <w:rFonts w:hint="eastAsia"/>
        </w:rPr>
        <w:t>回访提醒：提供信访件超时回访提醒功能，方便工作人员及时回访。</w:t>
      </w:r>
    </w:p>
    <w:p>
      <w:pPr>
        <w:spacing w:before="78" w:after="78"/>
        <w:ind w:firstLine="480"/>
      </w:pPr>
      <w:r>
        <w:t>2</w:t>
      </w:r>
      <w:r>
        <w:rPr>
          <w:rFonts w:hint="eastAsia"/>
        </w:rPr>
        <w:t>）人工线下当面回访</w:t>
      </w:r>
    </w:p>
    <w:p>
      <w:pPr>
        <w:spacing w:before="78" w:after="78"/>
        <w:ind w:firstLine="480"/>
      </w:pPr>
      <w:r>
        <w:rPr>
          <w:rFonts w:hint="eastAsia"/>
        </w:rPr>
        <w:t>回访登记表管理：提供线下回访登记功能，包括回访意见，回访情况，回访人。</w:t>
      </w:r>
    </w:p>
    <w:p>
      <w:pPr>
        <w:pStyle w:val="6"/>
        <w:rPr>
          <w:lang w:val="zh-CN"/>
        </w:rPr>
      </w:pPr>
      <w:r>
        <w:rPr>
          <w:rFonts w:hint="eastAsia"/>
          <w:lang w:val="zh-CN"/>
        </w:rPr>
        <w:t>回访服务管理</w:t>
      </w:r>
    </w:p>
    <w:p>
      <w:pPr>
        <w:spacing w:before="78" w:after="78"/>
        <w:ind w:firstLine="480"/>
      </w:pPr>
      <w:r>
        <w:rPr>
          <w:rFonts w:hint="eastAsia"/>
        </w:rPr>
        <w:t>1）回访录音管理：回访过程中，工作人员可选择是否录音，并保存录音文件，可查询并播放录音文件；</w:t>
      </w:r>
    </w:p>
    <w:p>
      <w:pPr>
        <w:spacing w:before="78" w:after="78"/>
        <w:ind w:firstLine="480"/>
      </w:pPr>
      <w:r>
        <w:rPr>
          <w:rFonts w:hint="eastAsia"/>
        </w:rPr>
        <w:t>2）回访台账管理：建立回访台账，群众对处理意见不满意的，根据实际情况成立回访工作组展开线下走访督导。</w:t>
      </w:r>
    </w:p>
    <w:p>
      <w:pPr>
        <w:spacing w:before="78" w:after="78"/>
        <w:ind w:firstLine="480"/>
      </w:pPr>
      <w:r>
        <w:rPr>
          <w:rFonts w:hint="eastAsia"/>
        </w:rPr>
        <w:t>3）回访业务统计报表：根据回访情况，建立回访后的统计报表，包括回访结果统计，回访次数统计等。每个月的回访数据进行统计。也可根据回访人统计查询。</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智慧信访大数据决策分析展示平台建设</w:t>
      </w:r>
    </w:p>
    <w:p>
      <w:pPr>
        <w:pStyle w:val="6"/>
        <w:rPr>
          <w:lang w:val="zh-CN"/>
        </w:rPr>
      </w:pPr>
      <w:r>
        <w:rPr>
          <w:rFonts w:hint="eastAsia"/>
          <w:lang w:val="zh-CN"/>
        </w:rPr>
        <w:t>系统概述</w:t>
      </w:r>
    </w:p>
    <w:p>
      <w:pPr>
        <w:spacing w:before="78" w:after="78"/>
        <w:ind w:firstLine="480"/>
      </w:pPr>
      <w:r>
        <w:rPr>
          <w:rFonts w:hint="eastAsia"/>
        </w:rPr>
        <w:t>依托互联网技术、运用大数据提升信访服务工作，实现 “数据多跑路、群众少跑腿”，真正便利老百姓。建立健全大数据辅助科学决策和社会治理的机制，实现政府决策科学化、社会治理精准化。充分利用大数据平台，综合分析风险因素，提高对风险因素的感知、预测、防范能力。</w:t>
      </w:r>
    </w:p>
    <w:p>
      <w:pPr>
        <w:pStyle w:val="6"/>
        <w:rPr>
          <w:lang w:val="zh-CN"/>
        </w:rPr>
      </w:pPr>
      <w:r>
        <w:rPr>
          <w:rFonts w:hint="eastAsia"/>
          <w:lang w:val="zh-CN"/>
        </w:rPr>
        <w:t>LED大屏系统</w:t>
      </w:r>
    </w:p>
    <w:p>
      <w:pPr>
        <w:spacing w:before="78" w:after="78"/>
        <w:ind w:firstLine="480"/>
      </w:pPr>
      <w:r>
        <w:t>LED</w:t>
      </w:r>
      <w:r>
        <w:rPr>
          <w:rFonts w:hint="eastAsia"/>
        </w:rPr>
        <w:t>大屏系统建设包括视频显示控制部分、音响系统。其作用是对整个信访办大数据业务的上墙控制及显示，并对视频图像资源进行统一管理和调度。</w:t>
      </w:r>
    </w:p>
    <w:p>
      <w:pPr>
        <w:spacing w:before="78" w:after="78"/>
        <w:ind w:firstLine="0" w:firstLineChars="0"/>
      </w:pPr>
      <w:r>
        <w:t>1</w:t>
      </w:r>
      <w:r>
        <w:rPr>
          <w:rFonts w:hint="eastAsia"/>
        </w:rPr>
        <w:t>）显示系统</w:t>
      </w:r>
    </w:p>
    <w:p>
      <w:pPr>
        <w:spacing w:before="78" w:after="78"/>
        <w:ind w:firstLine="480"/>
      </w:pPr>
      <w:r>
        <w:rPr>
          <w:rFonts w:hint="eastAsia"/>
        </w:rPr>
        <w:t>显示系统，采用55寸1.7㎜液晶拼接屏显示单元，采用机柜安装的方式，整体面积约为7.2平方米。</w:t>
      </w:r>
    </w:p>
    <w:p>
      <w:pPr>
        <w:spacing w:before="78" w:after="78"/>
        <w:ind w:firstLine="480"/>
      </w:pPr>
      <w:r>
        <w:rPr>
          <w:rFonts w:hint="eastAsia"/>
        </w:rPr>
        <w:t>显示部分采用55寸1.7㎜液晶拼接屏显示单元，具有显示画面柔和低亮高灰、高对比度、更宽的色域空间和更快的响应速度。</w:t>
      </w:r>
    </w:p>
    <w:p>
      <w:pPr>
        <w:spacing w:before="78" w:after="78"/>
        <w:ind w:firstLine="480"/>
      </w:pPr>
      <w:r>
        <w:rPr>
          <w:rFonts w:hint="eastAsia"/>
        </w:rPr>
        <w:t>相较传统的显示系统，本系统更有宽视角，无噪声，低重量，低功耗，安装维护快捷方便等优点。搭配显示屏控制系统，使得本产品具备更高的清晰度、对比度、真实色彩的还原性，给观众呈现无与伦比的视觉冲击效果。</w:t>
      </w:r>
    </w:p>
    <w:p>
      <w:pPr>
        <w:pStyle w:val="43"/>
        <w:numPr>
          <w:ilvl w:val="0"/>
          <w:numId w:val="9"/>
        </w:numPr>
        <w:spacing w:before="78" w:after="78"/>
      </w:pPr>
      <w:r>
        <w:rPr>
          <w:rFonts w:hint="eastAsia"/>
        </w:rPr>
        <w:t>前端部分</w:t>
      </w:r>
    </w:p>
    <w:p>
      <w:pPr>
        <w:spacing w:before="78" w:after="78"/>
        <w:ind w:firstLine="480"/>
      </w:pPr>
      <w:r>
        <w:rPr>
          <w:rFonts w:hint="eastAsia"/>
        </w:rPr>
        <w:t>系统支持前端模拟、数字、网络等多种信号源的接入显示及多种信号的混合显示。</w:t>
      </w:r>
    </w:p>
    <w:p>
      <w:pPr>
        <w:pStyle w:val="43"/>
        <w:numPr>
          <w:ilvl w:val="0"/>
          <w:numId w:val="9"/>
        </w:numPr>
        <w:spacing w:before="78" w:after="78"/>
      </w:pPr>
      <w:r>
        <w:rPr>
          <w:rFonts w:hint="eastAsia"/>
        </w:rPr>
        <w:t>PC电脑信号上墙</w:t>
      </w:r>
    </w:p>
    <w:p>
      <w:pPr>
        <w:spacing w:before="78" w:after="78"/>
        <w:ind w:firstLine="480"/>
      </w:pPr>
      <w:r>
        <w:rPr>
          <w:rFonts w:hint="eastAsia"/>
        </w:rPr>
        <w:t>PC信号源等HDMI/DVI/VGA信号，通过分配器输出一路接本地显示器，一路远传到大屏控制器的DVI/HDMI输入端口，最后通过大屏控制器的DVI/HDMI端口输出到LED屏显示。</w:t>
      </w:r>
    </w:p>
    <w:p>
      <w:pPr>
        <w:pStyle w:val="43"/>
        <w:numPr>
          <w:ilvl w:val="0"/>
          <w:numId w:val="9"/>
        </w:numPr>
        <w:spacing w:before="78" w:after="78"/>
      </w:pPr>
      <w:r>
        <w:rPr>
          <w:rFonts w:hint="eastAsia"/>
        </w:rPr>
        <w:t>电脑桌面信号</w:t>
      </w:r>
    </w:p>
    <w:p>
      <w:pPr>
        <w:spacing w:before="78" w:after="78"/>
        <w:ind w:firstLine="480"/>
      </w:pPr>
      <w:r>
        <w:rPr>
          <w:rFonts w:hint="eastAsia"/>
        </w:rPr>
        <w:t xml:space="preserve">模拟信号上墙。模拟摄像机、同轴高清摄像机等信号源，通过BNC接口将信号传输到大屏控制器，最后通过大屏控制器的DVI/HDMI端口输出到LED屏显示； </w:t>
      </w:r>
    </w:p>
    <w:p>
      <w:pPr>
        <w:pStyle w:val="43"/>
        <w:numPr>
          <w:ilvl w:val="0"/>
          <w:numId w:val="9"/>
        </w:numPr>
        <w:spacing w:before="78" w:after="78"/>
      </w:pPr>
      <w:r>
        <w:rPr>
          <w:rFonts w:hint="eastAsia"/>
        </w:rPr>
        <w:t>高清数字信号上墙（HDMI\DVI\SDI）</w:t>
      </w:r>
    </w:p>
    <w:p>
      <w:pPr>
        <w:spacing w:before="78" w:after="78"/>
        <w:ind w:firstLine="480"/>
      </w:pPr>
      <w:r>
        <w:rPr>
          <w:rFonts w:hint="eastAsia"/>
        </w:rPr>
        <w:t>高清信号源通过HDMI/DVI/SDI接口将信号传输到大屏控制器，最后通过大屏控制器的DVI/HDMI端口输出到LED屏显示；</w:t>
      </w:r>
    </w:p>
    <w:p>
      <w:pPr>
        <w:pStyle w:val="43"/>
        <w:numPr>
          <w:ilvl w:val="0"/>
          <w:numId w:val="9"/>
        </w:numPr>
        <w:spacing w:before="78" w:after="78"/>
      </w:pPr>
      <w:r>
        <w:rPr>
          <w:rFonts w:hint="eastAsia"/>
        </w:rPr>
        <w:t>手机及平板上墙</w:t>
      </w:r>
    </w:p>
    <w:p>
      <w:pPr>
        <w:spacing w:before="78" w:after="78"/>
        <w:ind w:firstLine="480"/>
      </w:pPr>
      <w:r>
        <w:rPr>
          <w:rFonts w:hint="eastAsia"/>
        </w:rPr>
        <w:t>IOS、Android等手机、平板通过无线方式传输到无线投屏器，由无线投屏器的HDMI输出到大屏控制器，最后通过大屏控制器的DVI/HDMI端口输出到LED屏显示。</w:t>
      </w:r>
    </w:p>
    <w:p>
      <w:pPr>
        <w:spacing w:before="78" w:after="78"/>
        <w:ind w:firstLine="0" w:firstLineChars="0"/>
      </w:pPr>
      <w:r>
        <w:t>2</w:t>
      </w:r>
      <w:r>
        <w:rPr>
          <w:rFonts w:hint="eastAsia"/>
        </w:rPr>
        <w:t>）控制系统</w:t>
      </w:r>
    </w:p>
    <w:p>
      <w:pPr>
        <w:spacing w:before="78" w:after="78"/>
        <w:ind w:firstLine="480"/>
      </w:pPr>
      <w:r>
        <w:rPr>
          <w:rFonts w:hint="eastAsia"/>
        </w:rPr>
        <w:t>控制系统采用二合一超级拼控，将插卡式拼接器和发送卡高度集成，架构更精简、不仅仅是减少了设备的数量，同时也将减少了90%的线材（电源线、视频信号线等），提高了项目的稳定性的同时，兼容性的问题也就迎刃而解。同一台设备中的视频处理流程也可以得到非常大的优化，极大减少了视频传输中间的延迟时间，稳定性更高，调试更简单。同时设备支持输入EDID管理及输出时序自定义设置，满足多样化的客户需求，全链路真4K处理支持，最新的10bit传输技术，还可支持HDR高动态范围显示。</w:t>
      </w:r>
    </w:p>
    <w:p>
      <w:pPr>
        <w:spacing w:before="78" w:after="78"/>
        <w:ind w:firstLine="0" w:firstLineChars="0"/>
      </w:pPr>
      <w:r>
        <w:t>3</w:t>
      </w:r>
      <w:r>
        <w:rPr>
          <w:rFonts w:hint="eastAsia"/>
        </w:rPr>
        <w:t>）音响系统</w:t>
      </w:r>
    </w:p>
    <w:p>
      <w:pPr>
        <w:spacing w:before="78" w:after="78"/>
        <w:ind w:firstLine="480"/>
      </w:pPr>
      <w:r>
        <w:rPr>
          <w:rFonts w:hint="eastAsia"/>
        </w:rPr>
        <w:t>音响扩声系统主要由扬声器、功率放大器、音频处理设备、话筒、音源等设备组成。整个系统选用同类产品中音色优美的高档次音响器材为主组成音响系统，选用同类产品中技术最成熟、性能先进、使用可靠的产品型号，通过计算会议室的音响场地系数进行设计，保证会议室每个角落的声场听觉均匀，没有出现失真、偏音、混音、回响等不良音响效果；会议室的扩声系统主要由三大部分组成：声源、音频处理设备、功放及扬声器系统。</w:t>
      </w:r>
    </w:p>
    <w:p>
      <w:pPr>
        <w:spacing w:before="78" w:after="78"/>
        <w:ind w:firstLine="482"/>
        <w:rPr>
          <w:b/>
          <w:bCs/>
        </w:rPr>
      </w:pPr>
      <w:r>
        <w:rPr>
          <w:rFonts w:hint="eastAsia"/>
          <w:b/>
          <w:bCs/>
        </w:rPr>
        <w:t xml:space="preserve">扬声器布局的一般原则是： </w:t>
      </w:r>
    </w:p>
    <w:p>
      <w:pPr>
        <w:pStyle w:val="43"/>
        <w:numPr>
          <w:ilvl w:val="0"/>
          <w:numId w:val="9"/>
        </w:numPr>
        <w:spacing w:before="78" w:after="78"/>
      </w:pPr>
      <w:r>
        <w:rPr>
          <w:rFonts w:hint="eastAsia"/>
        </w:rPr>
        <w:t xml:space="preserve">全部听众区内的声压分布均匀； </w:t>
      </w:r>
    </w:p>
    <w:p>
      <w:pPr>
        <w:pStyle w:val="43"/>
        <w:numPr>
          <w:ilvl w:val="0"/>
          <w:numId w:val="9"/>
        </w:numPr>
        <w:spacing w:before="78" w:after="78"/>
      </w:pPr>
      <w:r>
        <w:rPr>
          <w:rFonts w:hint="eastAsia"/>
        </w:rPr>
        <w:t xml:space="preserve">听众区上的声源方向感良好，即观众听到的扬声器的声音与看到的发言者在方向上一致； </w:t>
      </w:r>
    </w:p>
    <w:p>
      <w:pPr>
        <w:pStyle w:val="43"/>
        <w:numPr>
          <w:ilvl w:val="0"/>
          <w:numId w:val="9"/>
        </w:numPr>
        <w:spacing w:before="78" w:after="78"/>
      </w:pPr>
      <w:r>
        <w:rPr>
          <w:rFonts w:hint="eastAsia"/>
        </w:rPr>
        <w:t>扬声器的位置在建筑上应当是合理的：美观安全，不影响其他设备的使用 ；</w:t>
      </w:r>
    </w:p>
    <w:p>
      <w:pPr>
        <w:pStyle w:val="43"/>
        <w:numPr>
          <w:ilvl w:val="0"/>
          <w:numId w:val="9"/>
        </w:numPr>
        <w:spacing w:before="78" w:after="78"/>
      </w:pPr>
      <w:r>
        <w:rPr>
          <w:rFonts w:hint="eastAsia"/>
        </w:rPr>
        <w:t xml:space="preserve">控制声反馈和避免产生回声干扰。 </w:t>
      </w:r>
    </w:p>
    <w:p>
      <w:pPr>
        <w:spacing w:before="78" w:after="78"/>
        <w:ind w:firstLine="482"/>
        <w:rPr>
          <w:b/>
          <w:bCs/>
        </w:rPr>
      </w:pPr>
      <w:r>
        <w:rPr>
          <w:rFonts w:hint="eastAsia"/>
          <w:b/>
          <w:bCs/>
        </w:rPr>
        <w:t>系统主要应用：</w:t>
      </w:r>
    </w:p>
    <w:p>
      <w:pPr>
        <w:pStyle w:val="43"/>
        <w:numPr>
          <w:ilvl w:val="0"/>
          <w:numId w:val="10"/>
        </w:numPr>
        <w:spacing w:before="78" w:after="78"/>
      </w:pPr>
      <w:r>
        <w:rPr>
          <w:rFonts w:hint="eastAsia"/>
        </w:rPr>
        <w:t>通过手持无线麦克风或座式有线麦克风进行指挥调度。</w:t>
      </w:r>
    </w:p>
    <w:p>
      <w:pPr>
        <w:pStyle w:val="43"/>
        <w:numPr>
          <w:ilvl w:val="0"/>
          <w:numId w:val="10"/>
        </w:numPr>
        <w:spacing w:before="78" w:after="78"/>
      </w:pPr>
      <w:r>
        <w:rPr>
          <w:rFonts w:hint="eastAsia"/>
        </w:rPr>
        <w:t>坐席操作电脑播放在播放视频投到显示大屏时，音响系统同步播放视频声音。</w:t>
      </w:r>
    </w:p>
    <w:p>
      <w:pPr>
        <w:pStyle w:val="6"/>
        <w:rPr>
          <w:lang w:val="zh-CN"/>
        </w:rPr>
      </w:pPr>
      <w:r>
        <w:rPr>
          <w:rFonts w:hint="eastAsia"/>
          <w:lang w:val="zh-CN"/>
        </w:rPr>
        <w:t>首页展示</w:t>
      </w:r>
    </w:p>
    <w:p>
      <w:pPr>
        <w:pStyle w:val="43"/>
        <w:numPr>
          <w:ilvl w:val="0"/>
          <w:numId w:val="11"/>
        </w:numPr>
        <w:spacing w:before="78" w:after="78"/>
      </w:pPr>
      <w:r>
        <w:rPr>
          <w:rFonts w:hint="eastAsia"/>
        </w:rPr>
        <w:t>总体展现出时间段内的信访累计数量、归属地累计量、有效累计量等相关信访信息。</w:t>
      </w:r>
    </w:p>
    <w:p>
      <w:pPr>
        <w:pStyle w:val="43"/>
        <w:numPr>
          <w:ilvl w:val="0"/>
          <w:numId w:val="11"/>
        </w:numPr>
        <w:spacing w:before="78" w:after="78"/>
      </w:pPr>
      <w:r>
        <w:rPr>
          <w:rFonts w:hint="eastAsia"/>
        </w:rPr>
        <w:t>时间段内整体的信访率和信访量的变化趋势。</w:t>
      </w:r>
    </w:p>
    <w:p>
      <w:pPr>
        <w:pStyle w:val="43"/>
        <w:numPr>
          <w:ilvl w:val="0"/>
          <w:numId w:val="11"/>
        </w:numPr>
        <w:spacing w:before="78" w:after="78"/>
      </w:pPr>
      <w:r>
        <w:rPr>
          <w:rFonts w:hint="eastAsia"/>
        </w:rPr>
        <w:t>时间段内整体的不同信访上访渠道的变化趋势。</w:t>
      </w:r>
    </w:p>
    <w:p>
      <w:pPr>
        <w:pStyle w:val="43"/>
        <w:numPr>
          <w:ilvl w:val="0"/>
          <w:numId w:val="11"/>
        </w:numPr>
        <w:spacing w:before="78" w:after="78"/>
      </w:pPr>
      <w:r>
        <w:rPr>
          <w:rFonts w:hint="eastAsia"/>
        </w:rPr>
        <w:t>时间段内整体涉及信访人数变化趋势。</w:t>
      </w:r>
    </w:p>
    <w:p>
      <w:pPr>
        <w:pStyle w:val="43"/>
        <w:numPr>
          <w:ilvl w:val="0"/>
          <w:numId w:val="11"/>
        </w:numPr>
        <w:spacing w:before="78" w:after="78"/>
      </w:pPr>
      <w:r>
        <w:rPr>
          <w:rFonts w:hint="eastAsia"/>
        </w:rPr>
        <w:t>时间段内整体不同信访类别的变化趋势。</w:t>
      </w:r>
    </w:p>
    <w:p>
      <w:pPr>
        <w:pStyle w:val="43"/>
        <w:numPr>
          <w:ilvl w:val="0"/>
          <w:numId w:val="11"/>
        </w:numPr>
        <w:spacing w:before="78" w:after="78"/>
      </w:pPr>
      <w:r>
        <w:rPr>
          <w:rFonts w:hint="eastAsia"/>
        </w:rPr>
        <w:t>时间段内整体信访件中的关键词出现频率。</w:t>
      </w:r>
    </w:p>
    <w:p>
      <w:pPr>
        <w:pStyle w:val="43"/>
        <w:numPr>
          <w:ilvl w:val="0"/>
          <w:numId w:val="11"/>
        </w:numPr>
        <w:spacing w:before="78" w:after="78"/>
      </w:pPr>
      <w:r>
        <w:rPr>
          <w:rFonts w:hint="eastAsia"/>
        </w:rPr>
        <w:t>点击所有趋势图中的点，在地图中加载相应点的相关数据。</w:t>
      </w:r>
    </w:p>
    <w:p>
      <w:pPr>
        <w:pStyle w:val="6"/>
        <w:rPr>
          <w:lang w:val="zh-CN"/>
        </w:rPr>
      </w:pPr>
      <w:r>
        <w:rPr>
          <w:rFonts w:hint="eastAsia"/>
          <w:lang w:val="zh-CN"/>
        </w:rPr>
        <w:t>业务数据查询与统计</w:t>
      </w:r>
    </w:p>
    <w:p>
      <w:pPr>
        <w:spacing w:before="78" w:after="78"/>
        <w:ind w:firstLine="480"/>
      </w:pPr>
      <w:r>
        <w:rPr>
          <w:rFonts w:hint="eastAsia"/>
        </w:rPr>
        <w:t>系统提供基础信息查询和事项办理查询。基础信息查询是根据信访件基本信息查询，如信访人姓名、数据来源、登记机构、信访件编号等。事项办理查询可通过信访事项办理情况进行查询，如办理方式、办理机构等。</w:t>
      </w:r>
    </w:p>
    <w:p>
      <w:pPr>
        <w:pStyle w:val="6"/>
        <w:rPr>
          <w:lang w:val="zh-CN"/>
        </w:rPr>
      </w:pPr>
      <w:r>
        <w:rPr>
          <w:rFonts w:hint="eastAsia"/>
          <w:lang w:val="zh-CN"/>
        </w:rPr>
        <w:t>信件分析</w:t>
      </w:r>
    </w:p>
    <w:p>
      <w:pPr>
        <w:spacing w:before="78" w:after="78"/>
        <w:ind w:firstLine="480"/>
      </w:pPr>
      <w:r>
        <w:rPr>
          <w:rFonts w:hint="eastAsia"/>
        </w:rPr>
        <w:t xml:space="preserve">内容：挖掘信访人反映观点及情感。文本挖掘：分词与词性标注，否定词、涉政、涉及经济、援引法律、威胁、扬言、情感等分析； </w:t>
      </w:r>
    </w:p>
    <w:p>
      <w:pPr>
        <w:spacing w:before="78" w:after="78"/>
        <w:ind w:firstLine="480"/>
      </w:pPr>
      <w:r>
        <w:rPr>
          <w:rFonts w:hint="eastAsia"/>
        </w:rPr>
        <w:t>展现信访人列表（可搜索），点击信访人，在关系图中加载所有跟当前信访人相关的人及事件关系图，点击关系图中的人和事件，可弹出相关详情；同时更新该信访人相关的主成分分析图及转捩点因子分析趋势图。</w:t>
      </w:r>
    </w:p>
    <w:p>
      <w:pPr>
        <w:pStyle w:val="6"/>
        <w:rPr>
          <w:lang w:val="zh-CN"/>
        </w:rPr>
      </w:pPr>
      <w:r>
        <w:rPr>
          <w:rFonts w:hint="eastAsia"/>
          <w:lang w:val="zh-CN"/>
        </w:rPr>
        <w:t>信访事件分析</w:t>
      </w:r>
    </w:p>
    <w:p>
      <w:pPr>
        <w:pStyle w:val="43"/>
        <w:numPr>
          <w:ilvl w:val="0"/>
          <w:numId w:val="12"/>
        </w:numPr>
        <w:spacing w:before="78" w:after="78"/>
      </w:pPr>
      <w:r>
        <w:rPr>
          <w:rFonts w:hint="eastAsia"/>
        </w:rPr>
        <w:t>挖掘信访人反映问题情感的变化规律。</w:t>
      </w:r>
    </w:p>
    <w:p>
      <w:pPr>
        <w:pStyle w:val="43"/>
        <w:numPr>
          <w:ilvl w:val="0"/>
          <w:numId w:val="12"/>
        </w:numPr>
        <w:spacing w:before="78" w:after="78"/>
      </w:pPr>
      <w:r>
        <w:rPr>
          <w:rFonts w:hint="eastAsia"/>
        </w:rPr>
        <w:t>信访事件识别：通过文本相似类分析，将多个相似的信访件划分为同一个事件；</w:t>
      </w:r>
    </w:p>
    <w:p>
      <w:pPr>
        <w:pStyle w:val="43"/>
        <w:numPr>
          <w:ilvl w:val="0"/>
          <w:numId w:val="12"/>
        </w:numPr>
        <w:spacing w:before="78" w:after="78"/>
      </w:pPr>
      <w:r>
        <w:rPr>
          <w:rFonts w:hint="eastAsia"/>
        </w:rPr>
        <w:t>展现信访事件列表（可搜索），点击事件，在关系图中加载所有跟该事件相关的人与事件关系图；同时更新该事件相关情绪转捩点分析图。</w:t>
      </w:r>
    </w:p>
    <w:p>
      <w:pPr>
        <w:pStyle w:val="6"/>
        <w:rPr>
          <w:lang w:val="zh-CN"/>
        </w:rPr>
      </w:pPr>
      <w:r>
        <w:rPr>
          <w:rFonts w:hint="eastAsia"/>
          <w:lang w:val="zh-CN"/>
        </w:rPr>
        <w:t>信访人分析</w:t>
      </w:r>
    </w:p>
    <w:p>
      <w:pPr>
        <w:spacing w:before="78" w:after="78"/>
        <w:ind w:firstLine="480"/>
      </w:pPr>
      <w:r>
        <w:t>1</w:t>
      </w:r>
      <w:r>
        <w:rPr>
          <w:rFonts w:hint="eastAsia"/>
        </w:rPr>
        <w:t>）分析内容</w:t>
      </w:r>
    </w:p>
    <w:p>
      <w:pPr>
        <w:spacing w:before="78" w:after="78"/>
        <w:ind w:firstLine="480"/>
      </w:pPr>
      <w:r>
        <w:rPr>
          <w:rFonts w:hint="eastAsia"/>
        </w:rPr>
        <w:t>分析信访人行为，精准刻画人物画像，识别重点人群。</w:t>
      </w:r>
    </w:p>
    <w:p>
      <w:pPr>
        <w:spacing w:before="78" w:after="78"/>
        <w:ind w:firstLine="480"/>
      </w:pPr>
      <w:r>
        <w:rPr>
          <w:rFonts w:hint="eastAsia"/>
        </w:rPr>
        <w:t>用户画像：从努力程度、理性程度、客观程度、频率程度、极端程度5个维度对信访人的画像进行刻画；</w:t>
      </w:r>
    </w:p>
    <w:p>
      <w:pPr>
        <w:spacing w:before="78" w:after="78"/>
        <w:ind w:firstLine="480"/>
      </w:pPr>
      <w:r>
        <w:rPr>
          <w:rFonts w:hint="eastAsia"/>
        </w:rPr>
        <w:t>极端指数：通过主分成分析结果对信访人的极端行为进行评分；</w:t>
      </w:r>
    </w:p>
    <w:p>
      <w:pPr>
        <w:spacing w:before="78" w:after="78"/>
        <w:ind w:firstLine="0" w:firstLineChars="0"/>
      </w:pPr>
      <w:r>
        <w:rPr>
          <w:rFonts w:hint="eastAsia"/>
        </w:rPr>
        <w:t>情绪极端人识别：通过对情绪极端人识别，科学地配置信访工作资源。</w:t>
      </w:r>
    </w:p>
    <w:p>
      <w:pPr>
        <w:spacing w:before="78" w:after="78"/>
        <w:ind w:firstLine="480"/>
      </w:pPr>
      <w:r>
        <w:rPr>
          <w:rFonts w:hint="eastAsia"/>
        </w:rPr>
        <w:t>2）展示信息</w:t>
      </w:r>
    </w:p>
    <w:p>
      <w:pPr>
        <w:pStyle w:val="43"/>
        <w:numPr>
          <w:ilvl w:val="0"/>
          <w:numId w:val="13"/>
        </w:numPr>
        <w:spacing w:before="78" w:after="78"/>
      </w:pPr>
      <w:r>
        <w:rPr>
          <w:rFonts w:hint="eastAsia"/>
        </w:rPr>
        <w:t>对接公安的重点人员画像管理：显示时间/地点/人物。</w:t>
      </w:r>
    </w:p>
    <w:p>
      <w:pPr>
        <w:pStyle w:val="43"/>
        <w:numPr>
          <w:ilvl w:val="0"/>
          <w:numId w:val="13"/>
        </w:numPr>
        <w:spacing w:before="78" w:after="78"/>
      </w:pPr>
      <w:r>
        <w:rPr>
          <w:rFonts w:hint="eastAsia"/>
        </w:rPr>
        <w:t>地图默认加载极端指数最高的极端行为人轨迹信息，点击相应的点可浏览详细信息。</w:t>
      </w:r>
    </w:p>
    <w:p>
      <w:pPr>
        <w:pStyle w:val="43"/>
        <w:numPr>
          <w:ilvl w:val="0"/>
          <w:numId w:val="13"/>
        </w:numPr>
        <w:spacing w:before="78" w:after="78"/>
      </w:pPr>
      <w:r>
        <w:rPr>
          <w:rFonts w:hint="eastAsia"/>
        </w:rPr>
        <w:t>根据极端指数排序展现前N位极端行为人，点击相应行为人，更新地图相关轨迹为当前行为人。</w:t>
      </w:r>
    </w:p>
    <w:p>
      <w:pPr>
        <w:pStyle w:val="43"/>
        <w:numPr>
          <w:ilvl w:val="0"/>
          <w:numId w:val="13"/>
        </w:numPr>
        <w:spacing w:before="78" w:after="78"/>
      </w:pPr>
      <w:r>
        <w:rPr>
          <w:rFonts w:hint="eastAsia"/>
        </w:rPr>
        <w:t>展现时间段内信访人数增量信息。</w:t>
      </w:r>
    </w:p>
    <w:p>
      <w:pPr>
        <w:pStyle w:val="43"/>
        <w:numPr>
          <w:ilvl w:val="0"/>
          <w:numId w:val="13"/>
        </w:numPr>
        <w:spacing w:before="78" w:after="78"/>
      </w:pPr>
      <w:r>
        <w:rPr>
          <w:rFonts w:hint="eastAsia"/>
        </w:rPr>
        <w:t>展现时间段内信访人住址分布占比。</w:t>
      </w:r>
    </w:p>
    <w:p>
      <w:pPr>
        <w:pStyle w:val="43"/>
        <w:numPr>
          <w:ilvl w:val="0"/>
          <w:numId w:val="13"/>
        </w:numPr>
        <w:spacing w:before="78" w:after="78"/>
      </w:pPr>
      <w:r>
        <w:rPr>
          <w:rFonts w:hint="eastAsia"/>
        </w:rPr>
        <w:t>展现时间段内信访人籍贯分布。</w:t>
      </w:r>
    </w:p>
    <w:p>
      <w:pPr>
        <w:pStyle w:val="6"/>
        <w:rPr>
          <w:lang w:val="zh-CN"/>
        </w:rPr>
      </w:pPr>
      <w:r>
        <w:rPr>
          <w:rFonts w:hint="eastAsia"/>
          <w:lang w:val="zh-CN"/>
        </w:rPr>
        <w:t>地域分析</w:t>
      </w:r>
    </w:p>
    <w:p>
      <w:pPr>
        <w:spacing w:before="78" w:after="78"/>
        <w:ind w:firstLine="480"/>
      </w:pPr>
      <w:r>
        <w:rPr>
          <w:rFonts w:hint="eastAsia"/>
        </w:rPr>
        <w:t>通过对信访信息进行地域的分类后，再分别对总信件量、不同信访事件、异常事件进行预测，以期能对不同地区的信访总体走势、信访事件走向、异常事件发生量作出合理的判断，为信访部门的工作提供有力的信息支持。</w:t>
      </w:r>
    </w:p>
    <w:p>
      <w:pPr>
        <w:spacing w:before="78" w:after="78"/>
        <w:ind w:firstLine="480"/>
      </w:pPr>
      <w:r>
        <w:rPr>
          <w:rFonts w:hint="eastAsia"/>
        </w:rPr>
        <w:t>针对不同区县做成独立的分析考核表（按区县等排名）。</w:t>
      </w:r>
    </w:p>
    <w:p>
      <w:pPr>
        <w:pStyle w:val="6"/>
        <w:rPr>
          <w:lang w:val="zh-CN"/>
        </w:rPr>
      </w:pPr>
      <w:r>
        <w:rPr>
          <w:rFonts w:hint="eastAsia"/>
          <w:lang w:val="zh-CN"/>
        </w:rPr>
        <w:t>专题分析</w:t>
      </w:r>
    </w:p>
    <w:p>
      <w:pPr>
        <w:pStyle w:val="43"/>
        <w:numPr>
          <w:ilvl w:val="0"/>
          <w:numId w:val="14"/>
        </w:numPr>
        <w:spacing w:before="78" w:after="78"/>
      </w:pPr>
      <w:r>
        <w:rPr>
          <w:rFonts w:hint="eastAsia"/>
        </w:rPr>
        <w:t>专题趋势及预测是以折线图的方式，展示的是当前专题在各月份的数量及预测，以及未来2个月内的信访情况预测。</w:t>
      </w:r>
    </w:p>
    <w:p>
      <w:pPr>
        <w:pStyle w:val="43"/>
        <w:numPr>
          <w:ilvl w:val="0"/>
          <w:numId w:val="14"/>
        </w:numPr>
        <w:spacing w:before="78" w:after="78"/>
      </w:pPr>
      <w:r>
        <w:rPr>
          <w:rFonts w:hint="eastAsia"/>
        </w:rPr>
        <w:t>重复访：选定时间范围内的重复访件列表，信访相关词云及其重复访的时间和概率预测。点击重复访的人员名单，查看信件详情；重复访预测展示的是信访人在未来重复访的概率情况。</w:t>
      </w:r>
    </w:p>
    <w:p>
      <w:pPr>
        <w:pStyle w:val="43"/>
        <w:numPr>
          <w:ilvl w:val="0"/>
          <w:numId w:val="14"/>
        </w:numPr>
        <w:spacing w:before="78" w:after="78"/>
      </w:pPr>
      <w:r>
        <w:rPr>
          <w:rFonts w:hint="eastAsia"/>
        </w:rPr>
        <w:t>集体访：展示的是集体访的分析情况，包括选定时间范围内的集体访信件清单，信访相关词云及其集体访的时间和概率预测；</w:t>
      </w:r>
    </w:p>
    <w:p>
      <w:pPr>
        <w:pStyle w:val="43"/>
        <w:numPr>
          <w:ilvl w:val="0"/>
          <w:numId w:val="14"/>
        </w:numPr>
        <w:spacing w:before="78" w:after="78"/>
      </w:pPr>
      <w:r>
        <w:rPr>
          <w:rFonts w:hint="eastAsia"/>
        </w:rPr>
        <w:t>非访：选定时间范围内的非访件列表，点击非访的人员名单，查看信件详情；</w:t>
      </w:r>
    </w:p>
    <w:p>
      <w:pPr>
        <w:pStyle w:val="43"/>
        <w:numPr>
          <w:ilvl w:val="0"/>
          <w:numId w:val="14"/>
        </w:numPr>
        <w:spacing w:before="78" w:after="78"/>
      </w:pPr>
      <w:r>
        <w:rPr>
          <w:rFonts w:hint="eastAsia"/>
        </w:rPr>
        <w:t>越访：《信访条例》第四条信访工作应当在各级人民政府领导下，坚持属地管理、分级负责，谁主管、谁负责，依法、及时、就地解决问题与疏导教育相结合的原则。系统展示的是越访的分析情况，包括选定时间范围内的越访信件清单，点击越访的人员名单，查看信件详情。</w:t>
      </w:r>
    </w:p>
    <w:p>
      <w:pPr>
        <w:pStyle w:val="6"/>
        <w:rPr>
          <w:lang w:val="zh-CN"/>
        </w:rPr>
      </w:pPr>
      <w:r>
        <w:rPr>
          <w:rFonts w:hint="eastAsia"/>
          <w:lang w:val="zh-CN"/>
        </w:rPr>
        <w:t>资讯分析</w:t>
      </w:r>
    </w:p>
    <w:p>
      <w:pPr>
        <w:pStyle w:val="43"/>
        <w:numPr>
          <w:ilvl w:val="0"/>
          <w:numId w:val="15"/>
        </w:numPr>
        <w:spacing w:before="78" w:after="78"/>
      </w:pPr>
      <w:r>
        <w:rPr>
          <w:rFonts w:hint="eastAsia"/>
        </w:rPr>
        <w:t>政府决策科学化、通过对社会热点和政策分析，辅助科学决策。</w:t>
      </w:r>
    </w:p>
    <w:p>
      <w:pPr>
        <w:pStyle w:val="43"/>
        <w:numPr>
          <w:ilvl w:val="0"/>
          <w:numId w:val="15"/>
        </w:numPr>
        <w:spacing w:before="78" w:after="78"/>
      </w:pPr>
      <w:r>
        <w:rPr>
          <w:rFonts w:hint="eastAsia"/>
        </w:rPr>
        <w:t>政策分析：提取信访件中对政策法规的意见与建议，分析政策的落实情况；</w:t>
      </w:r>
    </w:p>
    <w:p>
      <w:pPr>
        <w:pStyle w:val="43"/>
        <w:numPr>
          <w:ilvl w:val="0"/>
          <w:numId w:val="15"/>
        </w:numPr>
        <w:spacing w:before="78" w:after="78"/>
      </w:pPr>
      <w:r>
        <w:rPr>
          <w:rFonts w:hint="eastAsia"/>
        </w:rPr>
        <w:t xml:space="preserve">社会热点：解读社会热点，预测重点热点事件和群体事件对上访的影响； </w:t>
      </w:r>
    </w:p>
    <w:p>
      <w:pPr>
        <w:pStyle w:val="43"/>
        <w:numPr>
          <w:ilvl w:val="0"/>
          <w:numId w:val="15"/>
        </w:numPr>
        <w:spacing w:before="78" w:after="78"/>
      </w:pPr>
      <w:r>
        <w:rPr>
          <w:rFonts w:hint="eastAsia"/>
        </w:rPr>
        <w:t>模板报告：可根据需求筛选对应的报告内容，包括年度/季度/月度/自定义时间范围等，报告内容根据不同角色需求，不同模板生成报告，方便使用。</w:t>
      </w:r>
    </w:p>
    <w:p>
      <w:pPr>
        <w:pStyle w:val="6"/>
        <w:rPr>
          <w:lang w:val="zh-CN"/>
        </w:rPr>
      </w:pPr>
      <w:r>
        <w:rPr>
          <w:rFonts w:hint="eastAsia"/>
          <w:lang w:val="zh-CN"/>
        </w:rPr>
        <w:t>大数据态势感知系统</w:t>
      </w:r>
    </w:p>
    <w:p>
      <w:pPr>
        <w:pStyle w:val="43"/>
        <w:numPr>
          <w:ilvl w:val="0"/>
          <w:numId w:val="16"/>
        </w:numPr>
        <w:spacing w:before="78" w:after="78"/>
      </w:pPr>
      <w:r>
        <w:rPr>
          <w:rFonts w:hint="eastAsia"/>
        </w:rPr>
        <w:t>趋势预测：考虑数据趋势性、周期性，节假日效应与突变点对预测结果的影响，对信访量进行预测；</w:t>
      </w:r>
    </w:p>
    <w:p>
      <w:pPr>
        <w:pStyle w:val="43"/>
        <w:numPr>
          <w:ilvl w:val="0"/>
          <w:numId w:val="16"/>
        </w:numPr>
        <w:spacing w:before="78" w:after="78"/>
      </w:pPr>
      <w:r>
        <w:rPr>
          <w:rFonts w:hint="eastAsia"/>
        </w:rPr>
        <w:t xml:space="preserve">法律条文推荐：感知信访件中提及的法律条文，推荐详细内容； </w:t>
      </w:r>
    </w:p>
    <w:p>
      <w:pPr>
        <w:pStyle w:val="43"/>
        <w:numPr>
          <w:ilvl w:val="0"/>
          <w:numId w:val="16"/>
        </w:numPr>
        <w:spacing w:before="78" w:after="78"/>
      </w:pPr>
      <w:r>
        <w:rPr>
          <w:rFonts w:hint="eastAsia"/>
        </w:rPr>
        <w:t>异常预测：从事件状态上来预测未来极端情况；</w:t>
      </w:r>
    </w:p>
    <w:p>
      <w:pPr>
        <w:pStyle w:val="43"/>
        <w:numPr>
          <w:ilvl w:val="0"/>
          <w:numId w:val="16"/>
        </w:numPr>
        <w:spacing w:before="78" w:after="78"/>
      </w:pPr>
      <w:r>
        <w:rPr>
          <w:rFonts w:hint="eastAsia"/>
        </w:rPr>
        <w:t>案例推荐：对新的信访件推荐匹配的案例，方便业务工作人员参考处理。</w:t>
      </w:r>
    </w:p>
    <w:p>
      <w:pPr>
        <w:pStyle w:val="43"/>
        <w:numPr>
          <w:ilvl w:val="0"/>
          <w:numId w:val="16"/>
        </w:numPr>
        <w:spacing w:before="78" w:after="78"/>
      </w:pPr>
      <w:r>
        <w:rPr>
          <w:rFonts w:hint="eastAsia"/>
        </w:rPr>
        <w:t>默认展现时间段内全部信访事件预测、信访量预测、异常事件预警趋势图。地图上默认加载最近月份全部分类信访事件预测汇总信息。</w:t>
      </w:r>
    </w:p>
    <w:p>
      <w:pPr>
        <w:pStyle w:val="43"/>
        <w:numPr>
          <w:ilvl w:val="0"/>
          <w:numId w:val="16"/>
        </w:numPr>
        <w:spacing w:before="78" w:after="78"/>
      </w:pPr>
      <w:r>
        <w:rPr>
          <w:rFonts w:hint="eastAsia"/>
        </w:rPr>
        <w:t>点击信访分类（最多支持同时选中5项），更新相关趋势图信息及地图信息。</w:t>
      </w:r>
    </w:p>
    <w:p>
      <w:pPr>
        <w:pStyle w:val="43"/>
        <w:numPr>
          <w:ilvl w:val="0"/>
          <w:numId w:val="16"/>
        </w:numPr>
        <w:spacing w:before="78" w:after="78"/>
      </w:pPr>
      <w:r>
        <w:rPr>
          <w:rFonts w:hint="eastAsia"/>
        </w:rPr>
        <w:t>点击趋势图中的点，更新地图信息为该点相关信息汇总数据，点击地图上的汇总点进入底层可看到相关具体该位置的相关事件，点击该点可看到该点相关详细信息。</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信访协同系统建设</w:t>
      </w:r>
    </w:p>
    <w:p>
      <w:pPr>
        <w:pStyle w:val="6"/>
        <w:rPr>
          <w:lang w:val="zh-CN"/>
        </w:rPr>
      </w:pPr>
      <w:r>
        <w:rPr>
          <w:rFonts w:hint="eastAsia"/>
          <w:lang w:val="zh-CN"/>
        </w:rPr>
        <w:t>系统概述</w:t>
      </w:r>
    </w:p>
    <w:p>
      <w:pPr>
        <w:spacing w:before="78" w:after="78"/>
        <w:ind w:firstLine="480"/>
      </w:pPr>
      <w:r>
        <w:rPr>
          <w:rFonts w:hint="eastAsia"/>
        </w:rPr>
        <w:t>基于高清视频通讯技术和大数据技术，实现同类疑难案件，联合接访案件的处置流程可视化智能化接访和会商信访业务开展。</w:t>
      </w:r>
    </w:p>
    <w:p>
      <w:pPr>
        <w:spacing w:before="78" w:after="78"/>
        <w:ind w:firstLine="480"/>
      </w:pPr>
      <w:r>
        <w:rPr>
          <w:rFonts w:hint="eastAsia"/>
        </w:rPr>
        <w:t>实行紧事快办，形成了责任单位少跑腿，信访群众少跑路，线上高效办理各类疑难信访事项的处理过程。</w:t>
      </w:r>
    </w:p>
    <w:p>
      <w:pPr>
        <w:pStyle w:val="6"/>
        <w:rPr>
          <w:lang w:val="zh-CN"/>
        </w:rPr>
      </w:pPr>
      <w:r>
        <w:rPr>
          <w:rFonts w:hint="eastAsia"/>
          <w:lang w:val="zh-CN"/>
        </w:rPr>
        <w:t>视频会议通信系统功能</w:t>
      </w:r>
    </w:p>
    <w:p>
      <w:pPr>
        <w:spacing w:before="78" w:after="78"/>
        <w:ind w:firstLine="480"/>
      </w:pPr>
      <w:r>
        <w:rPr>
          <w:rFonts w:hint="eastAsia"/>
        </w:rPr>
        <w:t>1）视频会议通信系统</w:t>
      </w:r>
    </w:p>
    <w:p>
      <w:pPr>
        <w:pStyle w:val="43"/>
        <w:numPr>
          <w:ilvl w:val="0"/>
          <w:numId w:val="17"/>
        </w:numPr>
        <w:spacing w:before="78" w:after="78"/>
      </w:pPr>
      <w:r>
        <w:rPr>
          <w:rFonts w:hint="eastAsia"/>
        </w:rPr>
        <w:t>平台采用虚拟化部署方式，支持规模部署、弹性扩展，提高资源利用率，保证系统高可靠性。</w:t>
      </w:r>
    </w:p>
    <w:p>
      <w:pPr>
        <w:pStyle w:val="43"/>
        <w:numPr>
          <w:ilvl w:val="0"/>
          <w:numId w:val="17"/>
        </w:numPr>
        <w:spacing w:before="78" w:after="78"/>
      </w:pPr>
      <w:r>
        <w:rPr>
          <w:rFonts w:hint="eastAsia"/>
        </w:rPr>
        <w:t>具有国内自主知识产权，产品均由国内研发生产</w:t>
      </w:r>
    </w:p>
    <w:p>
      <w:pPr>
        <w:pStyle w:val="43"/>
        <w:numPr>
          <w:ilvl w:val="0"/>
          <w:numId w:val="17"/>
        </w:numPr>
        <w:spacing w:before="78" w:after="78"/>
      </w:pPr>
      <w:r>
        <w:rPr>
          <w:rFonts w:hint="eastAsia"/>
        </w:rPr>
        <w:t>平台具备SIP 以及 WebRTC 协议。</w:t>
      </w:r>
    </w:p>
    <w:p>
      <w:pPr>
        <w:pStyle w:val="43"/>
        <w:numPr>
          <w:ilvl w:val="0"/>
          <w:numId w:val="17"/>
        </w:numPr>
        <w:spacing w:before="78" w:after="78"/>
      </w:pPr>
      <w:r>
        <w:rPr>
          <w:rFonts w:hint="eastAsia"/>
        </w:rPr>
        <w:t xml:space="preserve">能够将不同分辨率同时接入，各方图像互相不受阻碍地同时进行会议。   </w:t>
      </w:r>
    </w:p>
    <w:p>
      <w:pPr>
        <w:pStyle w:val="43"/>
        <w:numPr>
          <w:ilvl w:val="0"/>
          <w:numId w:val="17"/>
        </w:numPr>
        <w:spacing w:before="78" w:after="78"/>
      </w:pPr>
      <w:r>
        <w:rPr>
          <w:rFonts w:hint="eastAsia"/>
        </w:rPr>
        <w:t>支持ITU-TG.711、G.722、IETF SIP、Opus等音频协议，支持两路音频左右声道，实现立体声效果。</w:t>
      </w:r>
    </w:p>
    <w:p>
      <w:pPr>
        <w:pStyle w:val="43"/>
        <w:numPr>
          <w:ilvl w:val="0"/>
          <w:numId w:val="17"/>
        </w:numPr>
        <w:spacing w:before="78" w:after="78"/>
      </w:pPr>
      <w:r>
        <w:rPr>
          <w:rFonts w:hint="eastAsia"/>
        </w:rPr>
        <w:t xml:space="preserve">支持国际标准ITU-T H.264、SVC视频编解码算法   </w:t>
      </w:r>
    </w:p>
    <w:p>
      <w:pPr>
        <w:pStyle w:val="43"/>
        <w:numPr>
          <w:ilvl w:val="0"/>
          <w:numId w:val="17"/>
        </w:numPr>
        <w:spacing w:before="78" w:after="78"/>
      </w:pPr>
      <w:r>
        <w:rPr>
          <w:rFonts w:hint="eastAsia"/>
        </w:rPr>
        <w:t xml:space="preserve">自动唇音同步， 最低延时可达60ms。   </w:t>
      </w:r>
    </w:p>
    <w:p>
      <w:pPr>
        <w:pStyle w:val="43"/>
        <w:numPr>
          <w:ilvl w:val="0"/>
          <w:numId w:val="17"/>
        </w:numPr>
        <w:spacing w:before="78" w:after="78"/>
      </w:pPr>
      <w:r>
        <w:rPr>
          <w:rFonts w:hint="eastAsia"/>
        </w:rPr>
        <w:t xml:space="preserve">支持双流，同时分享屏幕和摄像头图像。   </w:t>
      </w:r>
    </w:p>
    <w:p>
      <w:pPr>
        <w:pStyle w:val="43"/>
        <w:numPr>
          <w:ilvl w:val="0"/>
          <w:numId w:val="17"/>
        </w:numPr>
        <w:spacing w:before="78" w:after="78"/>
      </w:pPr>
      <w:r>
        <w:rPr>
          <w:rFonts w:hint="eastAsia"/>
        </w:rPr>
        <w:t xml:space="preserve">同时召开多个不同会议，各会议互不影响。   </w:t>
      </w:r>
    </w:p>
    <w:p>
      <w:pPr>
        <w:pStyle w:val="43"/>
        <w:numPr>
          <w:ilvl w:val="0"/>
          <w:numId w:val="17"/>
        </w:numPr>
        <w:spacing w:before="78" w:after="78"/>
      </w:pPr>
      <w:r>
        <w:rPr>
          <w:rFonts w:hint="eastAsia"/>
        </w:rPr>
        <w:t xml:space="preserve">使用专业加密算法进行加密数据传输。   </w:t>
      </w:r>
    </w:p>
    <w:p>
      <w:pPr>
        <w:pStyle w:val="43"/>
        <w:numPr>
          <w:ilvl w:val="0"/>
          <w:numId w:val="17"/>
        </w:numPr>
        <w:spacing w:before="78" w:after="78"/>
      </w:pPr>
      <w:r>
        <w:rPr>
          <w:rFonts w:hint="eastAsia"/>
        </w:rPr>
        <w:t xml:space="preserve">支持私有云、混合云部署。   </w:t>
      </w:r>
    </w:p>
    <w:p>
      <w:pPr>
        <w:pStyle w:val="43"/>
        <w:numPr>
          <w:ilvl w:val="0"/>
          <w:numId w:val="17"/>
        </w:numPr>
        <w:spacing w:before="78" w:after="78"/>
      </w:pPr>
      <w:r>
        <w:rPr>
          <w:rFonts w:hint="eastAsia"/>
        </w:rPr>
        <w:t xml:space="preserve">最低可达 60ms，保证实时互动。   </w:t>
      </w:r>
    </w:p>
    <w:p>
      <w:pPr>
        <w:pStyle w:val="43"/>
        <w:numPr>
          <w:ilvl w:val="0"/>
          <w:numId w:val="17"/>
        </w:numPr>
        <w:spacing w:before="78" w:after="78"/>
      </w:pPr>
      <w:r>
        <w:rPr>
          <w:rFonts w:hint="eastAsia"/>
        </w:rPr>
        <w:t xml:space="preserve">在高达 50% 丢包下依然保持视频流畅，音频清晰   </w:t>
      </w:r>
    </w:p>
    <w:p>
      <w:pPr>
        <w:pStyle w:val="43"/>
        <w:numPr>
          <w:ilvl w:val="0"/>
          <w:numId w:val="17"/>
        </w:numPr>
        <w:spacing w:before="78" w:after="78"/>
      </w:pPr>
      <w:r>
        <w:rPr>
          <w:rFonts w:hint="eastAsia"/>
        </w:rPr>
        <w:t xml:space="preserve">同时参会终端可多达数百，定制可多达上万。   </w:t>
      </w:r>
    </w:p>
    <w:p>
      <w:pPr>
        <w:pStyle w:val="43"/>
        <w:numPr>
          <w:ilvl w:val="0"/>
          <w:numId w:val="17"/>
        </w:numPr>
        <w:spacing w:before="78" w:after="78"/>
      </w:pPr>
      <w:r>
        <w:rPr>
          <w:rFonts w:hint="eastAsia"/>
        </w:rPr>
        <w:t>具备7X24小时运行的稳定性</w:t>
      </w:r>
    </w:p>
    <w:p>
      <w:pPr>
        <w:pStyle w:val="43"/>
        <w:numPr>
          <w:ilvl w:val="0"/>
          <w:numId w:val="17"/>
        </w:numPr>
        <w:spacing w:before="78" w:after="78"/>
      </w:pPr>
      <w:r>
        <w:rPr>
          <w:rFonts w:hint="eastAsia"/>
        </w:rPr>
        <w:t>支持全中文界面操作，支持 WEB 治理功能，内置 WebServer；服务器资源图形化监控；账号管理；许可证管理。</w:t>
      </w:r>
    </w:p>
    <w:p>
      <w:pPr>
        <w:pStyle w:val="43"/>
        <w:numPr>
          <w:ilvl w:val="0"/>
          <w:numId w:val="17"/>
        </w:numPr>
        <w:spacing w:before="78" w:after="78"/>
      </w:pPr>
      <w:r>
        <w:rPr>
          <w:rFonts w:hint="eastAsia"/>
        </w:rPr>
        <w:t>弱网络环境50%丢包和 700ms 延时的情况下视频流畅，语音清晰可理解</w:t>
      </w:r>
    </w:p>
    <w:p>
      <w:pPr>
        <w:pStyle w:val="43"/>
        <w:numPr>
          <w:ilvl w:val="0"/>
          <w:numId w:val="17"/>
        </w:numPr>
        <w:spacing w:before="78" w:after="78"/>
      </w:pPr>
      <w:r>
        <w:rPr>
          <w:rFonts w:hint="eastAsia"/>
        </w:rPr>
        <w:t>客户端支持不低于4种国产操作系统（包括 统信操作系统，银河麒麟，深度操作系统，优麒麟等系统）</w:t>
      </w:r>
    </w:p>
    <w:p>
      <w:pPr>
        <w:pStyle w:val="43"/>
        <w:numPr>
          <w:ilvl w:val="0"/>
          <w:numId w:val="17"/>
        </w:numPr>
        <w:spacing w:before="78" w:after="78"/>
      </w:pPr>
      <w:r>
        <w:rPr>
          <w:rFonts w:hint="eastAsia"/>
        </w:rPr>
        <w:t>支持不需要安装任何程序和插件前提下实现浏览器入会</w:t>
      </w:r>
    </w:p>
    <w:p>
      <w:pPr>
        <w:pStyle w:val="43"/>
        <w:numPr>
          <w:ilvl w:val="0"/>
          <w:numId w:val="17"/>
        </w:numPr>
        <w:spacing w:before="78" w:after="78"/>
      </w:pPr>
      <w:r>
        <w:rPr>
          <w:rFonts w:hint="eastAsia"/>
        </w:rPr>
        <w:t>桌面分享时，可以同时分享视频和声音，同时共享桌面帧数可高达 30fps 的流畅画面</w:t>
      </w:r>
    </w:p>
    <w:p>
      <w:pPr>
        <w:pStyle w:val="43"/>
        <w:numPr>
          <w:ilvl w:val="0"/>
          <w:numId w:val="17"/>
        </w:numPr>
        <w:spacing w:before="78" w:after="78"/>
      </w:pPr>
      <w:r>
        <w:rPr>
          <w:rFonts w:hint="eastAsia"/>
        </w:rPr>
        <w:t>具备直播推流功能</w:t>
      </w:r>
    </w:p>
    <w:p>
      <w:pPr>
        <w:pStyle w:val="6"/>
        <w:rPr>
          <w:lang w:val="zh-CN"/>
        </w:rPr>
      </w:pPr>
      <w:r>
        <w:rPr>
          <w:rFonts w:hint="eastAsia"/>
          <w:lang w:val="zh-CN"/>
        </w:rPr>
        <w:t>联合会商终端系统</w:t>
      </w:r>
    </w:p>
    <w:p>
      <w:pPr>
        <w:spacing w:before="78" w:after="78"/>
        <w:ind w:firstLine="0" w:firstLineChars="0"/>
      </w:pPr>
      <w:r>
        <w:rPr>
          <w:rFonts w:hint="eastAsia"/>
        </w:rPr>
        <w:t xml:space="preserve"> </w:t>
      </w:r>
      <w:r>
        <w:t xml:space="preserve">  </w:t>
      </w:r>
      <w:r>
        <w:rPr>
          <w:rFonts w:hint="eastAsia"/>
        </w:rPr>
        <w:t>联合会商由四部分组成，一是会议平板系统、二是O</w:t>
      </w:r>
      <w:r>
        <w:t>PS</w:t>
      </w:r>
      <w:r>
        <w:rPr>
          <w:rFonts w:hint="eastAsia"/>
        </w:rPr>
        <w:t>电脑、三是超清摄像头、四是全向麦克风。</w:t>
      </w:r>
    </w:p>
    <w:p>
      <w:pPr>
        <w:spacing w:before="78" w:after="78"/>
        <w:ind w:firstLine="0" w:firstLineChars="0"/>
      </w:pPr>
      <w:r>
        <w:rPr>
          <w:rFonts w:hint="eastAsia"/>
        </w:rPr>
        <w:t xml:space="preserve"> </w:t>
      </w:r>
      <w:r>
        <w:t xml:space="preserve">   </w:t>
      </w:r>
      <w:r>
        <w:rPr>
          <w:rFonts w:hint="eastAsia"/>
        </w:rPr>
        <w:t>（1）65寸会议平板</w:t>
      </w:r>
    </w:p>
    <w:p>
      <w:pPr>
        <w:pStyle w:val="43"/>
        <w:numPr>
          <w:ilvl w:val="0"/>
          <w:numId w:val="18"/>
        </w:numPr>
        <w:spacing w:before="78" w:after="78"/>
      </w:pPr>
      <w:r>
        <w:rPr>
          <w:rFonts w:hint="eastAsia"/>
        </w:rPr>
        <w:t>屏幕尺寸：65英寸</w:t>
      </w:r>
    </w:p>
    <w:p>
      <w:pPr>
        <w:pStyle w:val="43"/>
        <w:numPr>
          <w:ilvl w:val="0"/>
          <w:numId w:val="18"/>
        </w:numPr>
        <w:spacing w:before="78" w:after="78"/>
      </w:pPr>
      <w:r>
        <w:rPr>
          <w:rFonts w:hint="eastAsia"/>
        </w:rPr>
        <w:t>背光技术：D-LED</w:t>
      </w:r>
    </w:p>
    <w:p>
      <w:pPr>
        <w:pStyle w:val="43"/>
        <w:numPr>
          <w:ilvl w:val="0"/>
          <w:numId w:val="18"/>
        </w:numPr>
        <w:spacing w:before="78" w:after="78"/>
      </w:pPr>
      <w:r>
        <w:rPr>
          <w:rFonts w:hint="eastAsia"/>
        </w:rPr>
        <w:t>分辨率：4K超清分辨率3840*2160</w:t>
      </w:r>
    </w:p>
    <w:p>
      <w:pPr>
        <w:pStyle w:val="43"/>
        <w:numPr>
          <w:ilvl w:val="0"/>
          <w:numId w:val="18"/>
        </w:numPr>
        <w:spacing w:before="78" w:after="78"/>
      </w:pPr>
      <w:r>
        <w:rPr>
          <w:rFonts w:hint="eastAsia"/>
        </w:rPr>
        <w:t>亮度：350cd/㎡</w:t>
      </w:r>
    </w:p>
    <w:p>
      <w:pPr>
        <w:pStyle w:val="43"/>
        <w:numPr>
          <w:ilvl w:val="0"/>
          <w:numId w:val="18"/>
        </w:numPr>
        <w:spacing w:before="78" w:after="78"/>
      </w:pPr>
      <w:r>
        <w:rPr>
          <w:rFonts w:hint="eastAsia"/>
        </w:rPr>
        <w:t>对比度≥TYP 5000：1</w:t>
      </w:r>
    </w:p>
    <w:p>
      <w:pPr>
        <w:pStyle w:val="43"/>
        <w:numPr>
          <w:ilvl w:val="0"/>
          <w:numId w:val="18"/>
        </w:numPr>
        <w:spacing w:before="78" w:after="78"/>
      </w:pPr>
      <w:r>
        <w:rPr>
          <w:rFonts w:hint="eastAsia"/>
        </w:rPr>
        <w:t>可视角度：H/V 178°/178°</w:t>
      </w:r>
    </w:p>
    <w:p>
      <w:pPr>
        <w:pStyle w:val="43"/>
        <w:numPr>
          <w:ilvl w:val="0"/>
          <w:numId w:val="18"/>
        </w:numPr>
        <w:spacing w:before="78" w:after="78"/>
      </w:pPr>
      <w:r>
        <w:rPr>
          <w:rFonts w:hint="eastAsia"/>
        </w:rPr>
        <w:t>系统配置：A73*4 四核+ NPU 1T</w:t>
      </w:r>
    </w:p>
    <w:p>
      <w:pPr>
        <w:pStyle w:val="43"/>
        <w:numPr>
          <w:ilvl w:val="0"/>
          <w:numId w:val="18"/>
        </w:numPr>
        <w:spacing w:before="78" w:after="78"/>
      </w:pPr>
      <w:r>
        <w:rPr>
          <w:rFonts w:hint="eastAsia"/>
        </w:rPr>
        <w:t>系统：适配 Android 9.0</w:t>
      </w:r>
    </w:p>
    <w:p>
      <w:pPr>
        <w:pStyle w:val="43"/>
        <w:numPr>
          <w:ilvl w:val="0"/>
          <w:numId w:val="18"/>
        </w:numPr>
        <w:spacing w:before="78" w:after="78"/>
      </w:pPr>
      <w:r>
        <w:rPr>
          <w:rFonts w:hint="eastAsia"/>
        </w:rPr>
        <w:t xml:space="preserve">运行内存：RAM 4G </w:t>
      </w:r>
    </w:p>
    <w:p>
      <w:pPr>
        <w:pStyle w:val="43"/>
        <w:numPr>
          <w:ilvl w:val="0"/>
          <w:numId w:val="18"/>
        </w:numPr>
        <w:spacing w:before="78" w:after="78"/>
      </w:pPr>
      <w:r>
        <w:rPr>
          <w:rFonts w:hint="eastAsia"/>
        </w:rPr>
        <w:t>内部存储：ROM 32G</w:t>
      </w:r>
    </w:p>
    <w:p>
      <w:pPr>
        <w:pStyle w:val="43"/>
        <w:numPr>
          <w:ilvl w:val="0"/>
          <w:numId w:val="18"/>
        </w:numPr>
        <w:spacing w:before="78" w:after="78"/>
      </w:pPr>
      <w:r>
        <w:rPr>
          <w:rFonts w:hint="eastAsia"/>
        </w:rPr>
        <w:t>AI PQ&amp;AI AQ:独立APU,算力0.8-1T</w:t>
      </w:r>
    </w:p>
    <w:p>
      <w:pPr>
        <w:pStyle w:val="43"/>
        <w:numPr>
          <w:ilvl w:val="0"/>
          <w:numId w:val="18"/>
        </w:numPr>
        <w:spacing w:before="78" w:after="78"/>
      </w:pPr>
      <w:r>
        <w:rPr>
          <w:rFonts w:hint="eastAsia"/>
        </w:rPr>
        <w:t>图像采集系统：1200W像素 106°广角镜头</w:t>
      </w:r>
    </w:p>
    <w:p>
      <w:pPr>
        <w:pStyle w:val="43"/>
        <w:numPr>
          <w:ilvl w:val="0"/>
          <w:numId w:val="18"/>
        </w:numPr>
        <w:spacing w:before="78" w:after="78"/>
      </w:pPr>
      <w:r>
        <w:rPr>
          <w:rFonts w:hint="eastAsia"/>
        </w:rPr>
        <w:t xml:space="preserve">拾音距离：8米 带降噪算法 </w:t>
      </w:r>
    </w:p>
    <w:p>
      <w:pPr>
        <w:pStyle w:val="43"/>
        <w:numPr>
          <w:ilvl w:val="0"/>
          <w:numId w:val="18"/>
        </w:numPr>
        <w:spacing w:before="78" w:after="78"/>
      </w:pPr>
      <w:r>
        <w:rPr>
          <w:rFonts w:hint="eastAsia"/>
        </w:rPr>
        <w:t>触控技术：红外20点精准触控</w:t>
      </w:r>
    </w:p>
    <w:p>
      <w:pPr>
        <w:pStyle w:val="43"/>
        <w:numPr>
          <w:ilvl w:val="0"/>
          <w:numId w:val="18"/>
        </w:numPr>
        <w:spacing w:before="78" w:after="78"/>
      </w:pPr>
      <w:r>
        <w:rPr>
          <w:rFonts w:hint="eastAsia"/>
        </w:rPr>
        <w:t>长高宽：1488.98*925.84*85mm</w:t>
      </w:r>
    </w:p>
    <w:p>
      <w:pPr>
        <w:pStyle w:val="43"/>
        <w:numPr>
          <w:ilvl w:val="0"/>
          <w:numId w:val="18"/>
        </w:numPr>
        <w:spacing w:before="78" w:after="78"/>
      </w:pPr>
      <w:r>
        <w:rPr>
          <w:rFonts w:hint="eastAsia"/>
        </w:rPr>
        <w:t>移动推车：尺寸（长×宽×高） 1160×661×1597mm 包装尺寸（长×宽×高） 1625×765×160mm 净重 18kg 毛重 23kg 最大承重 100kg 可承载机型尺寸 55~86 英寸 脚轮 尺寸 2.5 英寸 是否静音（轮） 静音轮 适配壁挂 WIB9060C/WIB9060F/WIB9060G 颜色 黑色（支架）+黑色（挂板&amp;脚轮）</w:t>
      </w:r>
    </w:p>
    <w:p>
      <w:pPr>
        <w:spacing w:before="78" w:after="78"/>
        <w:ind w:firstLine="720" w:firstLineChars="300"/>
      </w:pPr>
      <w:r>
        <w:rPr>
          <w:rFonts w:hint="eastAsia"/>
        </w:rPr>
        <w:t>（2）O</w:t>
      </w:r>
      <w:r>
        <w:t>PS</w:t>
      </w:r>
      <w:r>
        <w:rPr>
          <w:rFonts w:hint="eastAsia"/>
        </w:rPr>
        <w:t>电脑</w:t>
      </w:r>
    </w:p>
    <w:p>
      <w:pPr>
        <w:pStyle w:val="43"/>
        <w:numPr>
          <w:ilvl w:val="0"/>
          <w:numId w:val="19"/>
        </w:numPr>
        <w:spacing w:before="78" w:after="78"/>
      </w:pPr>
      <w:r>
        <w:rPr>
          <w:rFonts w:hint="eastAsia"/>
        </w:rPr>
        <w:t>采用Intel标准协议的80针接口：抽拉内置式，实现无单独接线的插拔，低噪音热管传导散热设计</w:t>
      </w:r>
    </w:p>
    <w:p>
      <w:pPr>
        <w:pStyle w:val="43"/>
        <w:numPr>
          <w:ilvl w:val="0"/>
          <w:numId w:val="19"/>
        </w:numPr>
        <w:spacing w:before="78" w:after="78"/>
      </w:pPr>
      <w:r>
        <w:rPr>
          <w:rFonts w:hint="eastAsia"/>
        </w:rPr>
        <w:t>处理器≥Intel Core i5 六代 ，内存≥4G DDR4；硬盘≥128G SSD固态硬盘。</w:t>
      </w:r>
    </w:p>
    <w:p>
      <w:pPr>
        <w:pStyle w:val="43"/>
        <w:numPr>
          <w:ilvl w:val="0"/>
          <w:numId w:val="19"/>
        </w:numPr>
        <w:spacing w:before="78" w:after="78"/>
      </w:pPr>
      <w:r>
        <w:rPr>
          <w:rFonts w:hint="eastAsia"/>
        </w:rPr>
        <w:t>内置双WiFi：IEEE 802.11b/g/n标准；内置网卡：10M/100M/1000M。</w:t>
      </w:r>
    </w:p>
    <w:p>
      <w:pPr>
        <w:spacing w:before="78" w:after="78"/>
        <w:ind w:firstLine="720" w:firstLineChars="300"/>
      </w:pPr>
      <w:r>
        <w:rPr>
          <w:rFonts w:hint="eastAsia"/>
        </w:rPr>
        <w:t>（3）超清摄像头</w:t>
      </w:r>
    </w:p>
    <w:p>
      <w:pPr>
        <w:pStyle w:val="43"/>
        <w:numPr>
          <w:ilvl w:val="0"/>
          <w:numId w:val="20"/>
        </w:numPr>
        <w:spacing w:before="78" w:after="78"/>
      </w:pPr>
      <w:r>
        <w:rPr>
          <w:rFonts w:hint="eastAsia"/>
        </w:rPr>
        <w:t>人性化设计，USB即插即用，兼容主流平台；</w:t>
      </w:r>
    </w:p>
    <w:p>
      <w:pPr>
        <w:pStyle w:val="43"/>
        <w:numPr>
          <w:ilvl w:val="0"/>
          <w:numId w:val="20"/>
        </w:numPr>
        <w:spacing w:before="78" w:after="78"/>
      </w:pPr>
      <w:r>
        <w:rPr>
          <w:rFonts w:hint="eastAsia"/>
        </w:rPr>
        <w:t>支持最佳取景，自动框选人像；</w:t>
      </w:r>
    </w:p>
    <w:p>
      <w:pPr>
        <w:pStyle w:val="43"/>
        <w:numPr>
          <w:ilvl w:val="0"/>
          <w:numId w:val="20"/>
        </w:numPr>
        <w:spacing w:before="78" w:after="78"/>
      </w:pPr>
      <w:r>
        <w:rPr>
          <w:rFonts w:hint="eastAsia"/>
        </w:rPr>
        <w:t>支持4K@30fps 超高清视频输出；</w:t>
      </w:r>
    </w:p>
    <w:p>
      <w:pPr>
        <w:pStyle w:val="43"/>
        <w:numPr>
          <w:ilvl w:val="0"/>
          <w:numId w:val="20"/>
        </w:numPr>
        <w:spacing w:before="78" w:after="78"/>
      </w:pPr>
      <w:r>
        <w:rPr>
          <w:rFonts w:hint="eastAsia"/>
        </w:rPr>
        <w:t>采用120°超大广角无畸变镜头；</w:t>
      </w:r>
    </w:p>
    <w:p>
      <w:pPr>
        <w:pStyle w:val="43"/>
        <w:numPr>
          <w:ilvl w:val="0"/>
          <w:numId w:val="20"/>
        </w:numPr>
        <w:spacing w:before="78" w:after="78"/>
      </w:pPr>
      <w:r>
        <w:rPr>
          <w:rFonts w:hint="eastAsia"/>
        </w:rPr>
        <w:t>采用800万像素索尼CMOS传感器；</w:t>
      </w:r>
    </w:p>
    <w:p>
      <w:pPr>
        <w:pStyle w:val="43"/>
        <w:numPr>
          <w:ilvl w:val="0"/>
          <w:numId w:val="20"/>
        </w:numPr>
        <w:spacing w:before="78" w:after="78"/>
      </w:pPr>
      <w:r>
        <w:rPr>
          <w:rFonts w:hint="eastAsia"/>
        </w:rPr>
        <w:t>提供灵活多样的安装方式，包扩屏幕夹持/三脚架安装/桌面平放；</w:t>
      </w:r>
    </w:p>
    <w:p>
      <w:pPr>
        <w:pStyle w:val="43"/>
        <w:numPr>
          <w:ilvl w:val="0"/>
          <w:numId w:val="20"/>
        </w:numPr>
        <w:spacing w:before="78" w:after="78"/>
      </w:pPr>
      <w:r>
        <w:rPr>
          <w:rFonts w:hint="eastAsia"/>
        </w:rPr>
        <w:t>光圈 F1.8，传感器 1/2.8 英寸，对焦方式 定焦2.26mm；</w:t>
      </w:r>
    </w:p>
    <w:p>
      <w:pPr>
        <w:pStyle w:val="43"/>
        <w:numPr>
          <w:ilvl w:val="0"/>
          <w:numId w:val="20"/>
        </w:numPr>
        <w:spacing w:before="78" w:after="78"/>
      </w:pPr>
      <w:r>
        <w:rPr>
          <w:rFonts w:hint="eastAsia"/>
        </w:rPr>
        <w:t>长宽比16:9</w:t>
      </w:r>
    </w:p>
    <w:p>
      <w:pPr>
        <w:pStyle w:val="43"/>
        <w:numPr>
          <w:ilvl w:val="0"/>
          <w:numId w:val="20"/>
        </w:numPr>
        <w:spacing w:before="78" w:after="78"/>
      </w:pPr>
      <w:r>
        <w:rPr>
          <w:rFonts w:hint="eastAsia"/>
        </w:rPr>
        <w:t>支持无畸变镜头、防闪烁和频闪、自动曝光、自动白平衡、3D 降噪，最高视频分辨率 3840*2160；</w:t>
      </w:r>
    </w:p>
    <w:p>
      <w:pPr>
        <w:pStyle w:val="43"/>
        <w:numPr>
          <w:ilvl w:val="0"/>
          <w:numId w:val="20"/>
        </w:numPr>
        <w:spacing w:before="78" w:after="78"/>
      </w:pPr>
      <w:r>
        <w:rPr>
          <w:rFonts w:hint="eastAsia"/>
        </w:rPr>
        <w:t>设备通过USB2.0 Type-C接口进行供电和传输数据；</w:t>
      </w:r>
    </w:p>
    <w:p>
      <w:pPr>
        <w:pStyle w:val="43"/>
        <w:numPr>
          <w:ilvl w:val="0"/>
          <w:numId w:val="20"/>
        </w:numPr>
        <w:spacing w:before="78" w:after="78"/>
      </w:pPr>
      <w:r>
        <w:rPr>
          <w:rFonts w:hint="eastAsia"/>
        </w:rPr>
        <w:t>兼容 UVC 1.1/1.5</w:t>
      </w:r>
    </w:p>
    <w:p>
      <w:pPr>
        <w:pStyle w:val="43"/>
        <w:numPr>
          <w:ilvl w:val="0"/>
          <w:numId w:val="20"/>
        </w:numPr>
        <w:spacing w:before="78" w:after="78"/>
      </w:pPr>
      <w:r>
        <w:rPr>
          <w:rFonts w:hint="eastAsia"/>
        </w:rPr>
        <w:t>编码格式 YUV：最大480P@30fps MJPEG：最大1080P@30fps H264： 最大2160P@30fps</w:t>
      </w:r>
    </w:p>
    <w:p>
      <w:pPr>
        <w:pStyle w:val="43"/>
        <w:numPr>
          <w:ilvl w:val="0"/>
          <w:numId w:val="20"/>
        </w:numPr>
        <w:spacing w:before="78" w:after="78"/>
      </w:pPr>
      <w:r>
        <w:rPr>
          <w:rFonts w:hint="eastAsia"/>
        </w:rPr>
        <w:t>4单元MEMS麦克风，有效拾音距离 4米</w:t>
      </w:r>
    </w:p>
    <w:p>
      <w:pPr>
        <w:pStyle w:val="43"/>
        <w:numPr>
          <w:ilvl w:val="0"/>
          <w:numId w:val="20"/>
        </w:numPr>
        <w:spacing w:before="78" w:after="78"/>
      </w:pPr>
      <w:r>
        <w:rPr>
          <w:rFonts w:hint="eastAsia"/>
        </w:rPr>
        <w:t>自动增益控制，4米以内智能增益，清晰拾音</w:t>
      </w:r>
    </w:p>
    <w:p>
      <w:pPr>
        <w:pStyle w:val="43"/>
        <w:numPr>
          <w:ilvl w:val="0"/>
          <w:numId w:val="20"/>
        </w:numPr>
        <w:spacing w:before="78" w:after="78"/>
      </w:pPr>
      <w:r>
        <w:rPr>
          <w:rFonts w:hint="eastAsia"/>
        </w:rPr>
        <w:t>灵敏度 -38dBV/Pa 94dB SPL@1kHz</w:t>
      </w:r>
    </w:p>
    <w:p>
      <w:pPr>
        <w:pStyle w:val="43"/>
        <w:numPr>
          <w:ilvl w:val="0"/>
          <w:numId w:val="20"/>
        </w:numPr>
        <w:spacing w:before="78" w:after="78"/>
      </w:pPr>
      <w:r>
        <w:rPr>
          <w:rFonts w:hint="eastAsia"/>
        </w:rPr>
        <w:t>信噪比 63dBV/Pa 94dB SPL@1kHz,A-weighted</w:t>
      </w:r>
    </w:p>
    <w:p>
      <w:pPr>
        <w:pStyle w:val="43"/>
        <w:numPr>
          <w:ilvl w:val="0"/>
          <w:numId w:val="20"/>
        </w:numPr>
        <w:spacing w:before="78" w:after="78"/>
      </w:pPr>
      <w:r>
        <w:rPr>
          <w:rFonts w:hint="eastAsia"/>
        </w:rPr>
        <w:t>支持区域拾音、混响抑制，区域拾音范围 -60°~60°</w:t>
      </w:r>
    </w:p>
    <w:p>
      <w:pPr>
        <w:pStyle w:val="43"/>
        <w:numPr>
          <w:ilvl w:val="0"/>
          <w:numId w:val="20"/>
        </w:numPr>
        <w:spacing w:before="78" w:after="78"/>
      </w:pPr>
      <w:r>
        <w:rPr>
          <w:rFonts w:hint="eastAsia"/>
        </w:rPr>
        <w:t>最大背景噪声抑制 18dB</w:t>
      </w:r>
    </w:p>
    <w:p>
      <w:pPr>
        <w:pStyle w:val="43"/>
        <w:numPr>
          <w:ilvl w:val="0"/>
          <w:numId w:val="20"/>
        </w:numPr>
        <w:spacing w:before="78" w:after="78"/>
      </w:pPr>
      <w:r>
        <w:rPr>
          <w:rFonts w:hint="eastAsia"/>
        </w:rPr>
        <w:t>自带隐私保护镜头盖</w:t>
      </w:r>
    </w:p>
    <w:p>
      <w:pPr>
        <w:pStyle w:val="43"/>
        <w:numPr>
          <w:ilvl w:val="0"/>
          <w:numId w:val="20"/>
        </w:numPr>
        <w:spacing w:before="78" w:after="78"/>
      </w:pPr>
      <w:r>
        <w:rPr>
          <w:rFonts w:hint="eastAsia"/>
        </w:rPr>
        <w:t>支持系统 Windows/Mac/Linux</w:t>
      </w:r>
    </w:p>
    <w:p>
      <w:pPr>
        <w:pStyle w:val="43"/>
        <w:numPr>
          <w:ilvl w:val="0"/>
          <w:numId w:val="20"/>
        </w:numPr>
        <w:spacing w:before="78" w:after="78"/>
      </w:pPr>
      <w:r>
        <w:rPr>
          <w:rFonts w:hint="eastAsia"/>
        </w:rPr>
        <w:t>提供国内第三方检测机构检测报告</w:t>
      </w:r>
    </w:p>
    <w:p>
      <w:pPr>
        <w:spacing w:before="78" w:after="78"/>
        <w:ind w:firstLine="720" w:firstLineChars="300"/>
      </w:pPr>
      <w:r>
        <w:rPr>
          <w:rFonts w:hint="eastAsia"/>
        </w:rPr>
        <w:t>（</w:t>
      </w:r>
      <w:r>
        <w:t>4</w:t>
      </w:r>
      <w:r>
        <w:rPr>
          <w:rFonts w:hint="eastAsia"/>
        </w:rPr>
        <w:t>）全向麦</w:t>
      </w:r>
    </w:p>
    <w:p>
      <w:pPr>
        <w:pStyle w:val="43"/>
        <w:numPr>
          <w:ilvl w:val="0"/>
          <w:numId w:val="21"/>
        </w:numPr>
        <w:spacing w:before="78" w:after="78"/>
      </w:pPr>
      <w:r>
        <w:rPr>
          <w:rFonts w:hint="eastAsia"/>
        </w:rPr>
        <w:t>人性化埋线设计，USB即插即用，兼容主流会议软件，免驱设计；</w:t>
      </w:r>
    </w:p>
    <w:p>
      <w:pPr>
        <w:pStyle w:val="43"/>
        <w:numPr>
          <w:ilvl w:val="0"/>
          <w:numId w:val="21"/>
        </w:numPr>
        <w:spacing w:before="78" w:after="78"/>
      </w:pPr>
      <w:r>
        <w:rPr>
          <w:rFonts w:hint="eastAsia"/>
        </w:rPr>
        <w:t>支持多麦克风阵列级联技术，级联方式 POE网线级联，最多支持5台级联；</w:t>
      </w:r>
    </w:p>
    <w:p>
      <w:pPr>
        <w:pStyle w:val="43"/>
        <w:numPr>
          <w:ilvl w:val="0"/>
          <w:numId w:val="21"/>
        </w:numPr>
        <w:spacing w:before="78" w:after="78"/>
      </w:pPr>
      <w:r>
        <w:rPr>
          <w:rFonts w:hint="eastAsia"/>
        </w:rPr>
        <w:t>支持噪声抑制、回声抑制、混响抑制和自动增益控制功能；</w:t>
      </w:r>
    </w:p>
    <w:p>
      <w:pPr>
        <w:pStyle w:val="43"/>
        <w:numPr>
          <w:ilvl w:val="0"/>
          <w:numId w:val="21"/>
        </w:numPr>
        <w:spacing w:before="78" w:after="78"/>
      </w:pPr>
      <w:r>
        <w:rPr>
          <w:rFonts w:hint="eastAsia"/>
        </w:rPr>
        <w:t>设备为一体化设计，内置8单元全向MEMS麦克风和高保真扬声器；</w:t>
      </w:r>
    </w:p>
    <w:p>
      <w:pPr>
        <w:pStyle w:val="43"/>
        <w:numPr>
          <w:ilvl w:val="0"/>
          <w:numId w:val="22"/>
        </w:numPr>
        <w:spacing w:before="78" w:after="78"/>
        <w:ind w:leftChars="300"/>
      </w:pPr>
      <w:r>
        <w:rPr>
          <w:rFonts w:hint="eastAsia"/>
        </w:rPr>
        <w:t>支持全双工通话；</w:t>
      </w:r>
    </w:p>
    <w:p>
      <w:pPr>
        <w:pStyle w:val="43"/>
        <w:numPr>
          <w:ilvl w:val="0"/>
          <w:numId w:val="22"/>
        </w:numPr>
        <w:spacing w:before="78" w:after="78"/>
        <w:ind w:leftChars="300"/>
      </w:pPr>
      <w:r>
        <w:rPr>
          <w:rFonts w:hint="eastAsia"/>
        </w:rPr>
        <w:t>支持360°空间指向阵列，单台设备8单元全向MEMS麦克风， 级联后最多40单元全向MEMS麦克风；</w:t>
      </w:r>
    </w:p>
    <w:p>
      <w:pPr>
        <w:pStyle w:val="43"/>
        <w:numPr>
          <w:ilvl w:val="0"/>
          <w:numId w:val="22"/>
        </w:numPr>
        <w:spacing w:before="78" w:after="78"/>
        <w:ind w:leftChars="300"/>
      </w:pPr>
      <w:r>
        <w:rPr>
          <w:rFonts w:hint="eastAsia"/>
        </w:rPr>
        <w:t>单台设备有效拾音距离≤5米；</w:t>
      </w:r>
    </w:p>
    <w:p>
      <w:pPr>
        <w:pStyle w:val="43"/>
        <w:numPr>
          <w:ilvl w:val="0"/>
          <w:numId w:val="22"/>
        </w:numPr>
        <w:spacing w:before="78" w:after="78"/>
        <w:ind w:leftChars="300"/>
      </w:pPr>
      <w:r>
        <w:rPr>
          <w:rFonts w:hint="eastAsia"/>
        </w:rPr>
        <w:t>灵敏度 -26dBFS 94dB SPL@1kHz；</w:t>
      </w:r>
    </w:p>
    <w:p>
      <w:pPr>
        <w:pStyle w:val="43"/>
        <w:numPr>
          <w:ilvl w:val="0"/>
          <w:numId w:val="22"/>
        </w:numPr>
        <w:spacing w:before="78" w:after="78"/>
        <w:ind w:leftChars="300"/>
      </w:pPr>
      <w:r>
        <w:rPr>
          <w:rFonts w:hint="eastAsia"/>
        </w:rPr>
        <w:t>信噪比 65dBA@20kHz bandwidth,A-weighted；</w:t>
      </w:r>
    </w:p>
    <w:p>
      <w:pPr>
        <w:pStyle w:val="43"/>
        <w:numPr>
          <w:ilvl w:val="0"/>
          <w:numId w:val="22"/>
        </w:numPr>
        <w:spacing w:before="78" w:after="78"/>
        <w:ind w:leftChars="300"/>
      </w:pPr>
      <w:r>
        <w:rPr>
          <w:rFonts w:hint="eastAsia"/>
        </w:rPr>
        <w:t xml:space="preserve">支持 波束成形； </w:t>
      </w:r>
    </w:p>
    <w:p>
      <w:pPr>
        <w:pStyle w:val="43"/>
        <w:numPr>
          <w:ilvl w:val="0"/>
          <w:numId w:val="22"/>
        </w:numPr>
        <w:spacing w:before="78" w:after="78"/>
        <w:ind w:leftChars="300"/>
      </w:pPr>
      <w:r>
        <w:rPr>
          <w:rFonts w:hint="eastAsia"/>
        </w:rPr>
        <w:t>最大背景噪声抑制 18dB；</w:t>
      </w:r>
    </w:p>
    <w:p>
      <w:pPr>
        <w:pStyle w:val="43"/>
        <w:numPr>
          <w:ilvl w:val="0"/>
          <w:numId w:val="22"/>
        </w:numPr>
        <w:spacing w:before="78" w:after="78"/>
        <w:ind w:leftChars="300"/>
      </w:pPr>
      <w:r>
        <w:rPr>
          <w:rFonts w:hint="eastAsia"/>
        </w:rPr>
        <w:t>回声消除 线性回声消除器的最大线性erle≥30dB；</w:t>
      </w:r>
    </w:p>
    <w:p>
      <w:pPr>
        <w:pStyle w:val="43"/>
        <w:numPr>
          <w:ilvl w:val="0"/>
          <w:numId w:val="22"/>
        </w:numPr>
        <w:spacing w:before="78" w:after="78"/>
        <w:ind w:leftChars="300"/>
      </w:pPr>
      <w:r>
        <w:rPr>
          <w:rFonts w:hint="eastAsia"/>
        </w:rPr>
        <w:t>混响抑制 RT60&lt;1s；</w:t>
      </w:r>
    </w:p>
    <w:p>
      <w:pPr>
        <w:pStyle w:val="43"/>
        <w:numPr>
          <w:ilvl w:val="0"/>
          <w:numId w:val="22"/>
        </w:numPr>
        <w:spacing w:before="78" w:after="78"/>
        <w:ind w:leftChars="300"/>
      </w:pPr>
      <w:r>
        <w:rPr>
          <w:rFonts w:hint="eastAsia"/>
        </w:rPr>
        <w:t>单台设备支持USB type-c进行供电和数据传输，无需外接电源；</w:t>
      </w:r>
    </w:p>
    <w:p>
      <w:pPr>
        <w:pStyle w:val="43"/>
        <w:numPr>
          <w:ilvl w:val="0"/>
          <w:numId w:val="22"/>
        </w:numPr>
        <w:spacing w:before="78" w:after="78"/>
        <w:ind w:leftChars="300"/>
      </w:pPr>
      <w:r>
        <w:rPr>
          <w:rFonts w:hint="eastAsia"/>
        </w:rPr>
        <w:t>具备功能按键，可通过键实现接听和挂断通话、音量调节、麦克风静音功能；</w:t>
      </w:r>
    </w:p>
    <w:p>
      <w:pPr>
        <w:pStyle w:val="43"/>
        <w:numPr>
          <w:ilvl w:val="0"/>
          <w:numId w:val="22"/>
        </w:numPr>
        <w:spacing w:before="78" w:after="78"/>
        <w:ind w:leftChars="300"/>
      </w:pPr>
      <w:r>
        <w:rPr>
          <w:rFonts w:hint="eastAsia"/>
        </w:rPr>
        <w:t>具备多种接口，包括USB2.0 type-c、RJ45和电源接口；</w:t>
      </w:r>
    </w:p>
    <w:p>
      <w:pPr>
        <w:pStyle w:val="43"/>
        <w:numPr>
          <w:ilvl w:val="0"/>
          <w:numId w:val="22"/>
        </w:numPr>
        <w:spacing w:before="78" w:after="78"/>
        <w:ind w:leftChars="300"/>
      </w:pPr>
      <w:r>
        <w:rPr>
          <w:rFonts w:hint="eastAsia"/>
        </w:rPr>
        <w:t>扬声器额定输出功率4Ω/3W；</w:t>
      </w:r>
    </w:p>
    <w:p>
      <w:pPr>
        <w:pStyle w:val="43"/>
        <w:numPr>
          <w:ilvl w:val="0"/>
          <w:numId w:val="22"/>
        </w:numPr>
        <w:spacing w:before="78" w:after="78"/>
        <w:ind w:leftChars="300"/>
      </w:pPr>
      <w:r>
        <w:rPr>
          <w:rFonts w:hint="eastAsia"/>
        </w:rPr>
        <w:t>扬声器有效频率范围≤170Hz ~20kHz，音量为:  82±3dB (500,600,800,1200Hz) @1W/1m；</w:t>
      </w:r>
    </w:p>
    <w:p>
      <w:pPr>
        <w:pStyle w:val="43"/>
        <w:numPr>
          <w:ilvl w:val="0"/>
          <w:numId w:val="22"/>
        </w:numPr>
        <w:spacing w:before="78" w:after="78"/>
        <w:ind w:leftChars="300"/>
      </w:pPr>
      <w:r>
        <w:rPr>
          <w:rFonts w:hint="eastAsia"/>
        </w:rPr>
        <w:t>具备国产操作系统统信认证、中方德科认证、麒麟软件认证；</w:t>
      </w:r>
    </w:p>
    <w:p>
      <w:pPr>
        <w:pStyle w:val="43"/>
        <w:numPr>
          <w:ilvl w:val="0"/>
          <w:numId w:val="22"/>
        </w:numPr>
        <w:spacing w:before="78" w:after="78"/>
        <w:ind w:leftChars="300"/>
      </w:pPr>
      <w:r>
        <w:rPr>
          <w:rFonts w:hint="eastAsia"/>
        </w:rPr>
        <w:t>通过3家以上主流互联网视频会议系统（华为云会议硬件认证、钉钉会议认证、腾讯会议认证、瞩目会议室系统认证等）厂商产品认证；</w:t>
      </w:r>
    </w:p>
    <w:p>
      <w:pPr>
        <w:pStyle w:val="43"/>
        <w:numPr>
          <w:ilvl w:val="0"/>
          <w:numId w:val="22"/>
        </w:numPr>
        <w:spacing w:before="78" w:after="78"/>
        <w:ind w:leftChars="300"/>
      </w:pPr>
      <w:r>
        <w:rPr>
          <w:rFonts w:hint="eastAsia"/>
        </w:rPr>
        <w:t>具备3C证书；</w:t>
      </w:r>
    </w:p>
    <w:p>
      <w:pPr>
        <w:pStyle w:val="43"/>
        <w:numPr>
          <w:ilvl w:val="0"/>
          <w:numId w:val="22"/>
        </w:numPr>
        <w:spacing w:before="78" w:after="78"/>
        <w:ind w:leftChars="300"/>
      </w:pPr>
      <w:r>
        <w:rPr>
          <w:rFonts w:hint="eastAsia"/>
        </w:rPr>
        <w:t>支持对接传统硬件终端，如宝利通，思科，华为，科达等。</w:t>
      </w:r>
    </w:p>
    <w:p>
      <w:pPr>
        <w:pStyle w:val="6"/>
        <w:rPr>
          <w:lang w:val="zh-CN"/>
        </w:rPr>
      </w:pPr>
      <w:r>
        <w:rPr>
          <w:rFonts w:hint="eastAsia"/>
          <w:lang w:val="zh-CN"/>
        </w:rPr>
        <w:t>联合接访终端系统</w:t>
      </w:r>
    </w:p>
    <w:p>
      <w:pPr>
        <w:spacing w:before="78" w:after="78"/>
        <w:ind w:firstLine="480"/>
      </w:pPr>
      <w:r>
        <w:rPr>
          <w:rFonts w:hint="eastAsia"/>
        </w:rPr>
        <w:t>融合音视频通话、高清视频会议、视频直播的高端桌面会议终端。外观简洁大方，搭载 Android 7.1系统，配置 10.1 英寸1280*800 多点触控 IPS 电容屏和 500 万像素可翻转 210 度的广角高清摄像头，支持高清视频会议主流与辅流同时传输，是小型会场、办公桌面的最佳选择。</w:t>
      </w:r>
    </w:p>
    <w:p>
      <w:pPr>
        <w:spacing w:before="78" w:after="78"/>
        <w:ind w:left="480" w:leftChars="200" w:firstLine="0" w:firstLineChars="0"/>
      </w:pPr>
      <w:r>
        <w:rPr>
          <w:rFonts w:hint="eastAsia"/>
        </w:rPr>
        <w:t>（1）内置 Wi-Fi 和蓝牙，能够接入无线网络、配对蓝牙耳机或者手机，使用户彻底摆脱办公桌的束缚，大幅提升灵活性。同时还可以提供手机/PAD等移动终端提供无线热点。</w:t>
      </w:r>
    </w:p>
    <w:p>
      <w:pPr>
        <w:spacing w:before="78" w:after="78"/>
        <w:ind w:left="480" w:leftChars="200" w:firstLine="0" w:firstLineChars="0"/>
      </w:pPr>
      <w:r>
        <w:rPr>
          <w:rFonts w:hint="eastAsia"/>
        </w:rPr>
        <w:t>（2）支持 HDMI 辅流输入和 HDMI 双屏扩展，桌面话机瞬间变成一个高品质办公室视频会议设备；支持 USB2.0 扩展，支持 U 盘视频录制、充电等。</w:t>
      </w:r>
    </w:p>
    <w:p>
      <w:pPr>
        <w:spacing w:before="78" w:after="78"/>
        <w:ind w:left="480" w:leftChars="200" w:firstLine="0" w:firstLineChars="0"/>
      </w:pPr>
      <w:r>
        <w:rPr>
          <w:rFonts w:hint="eastAsia"/>
        </w:rPr>
        <w:t>（3）采用强劲硬件内核和最新的音视频处理技术，支持 Opus 编码和 1080P 高清双流，为用户提供身临其境的高清视频沟通体验。</w:t>
      </w:r>
    </w:p>
    <w:p>
      <w:pPr>
        <w:spacing w:before="78" w:after="78"/>
        <w:ind w:left="480" w:leftChars="200" w:firstLine="0" w:firstLineChars="0"/>
      </w:pPr>
      <w:r>
        <w:rPr>
          <w:rFonts w:hint="eastAsia"/>
        </w:rPr>
        <w:t>（4）摈弃物理键盘，整机仅多功能免提键，采用高清多点触控电容屏，如智能手机般的畅快体验，同时提供可调节支架与可调节摄像头带来舒适体验。</w:t>
      </w:r>
    </w:p>
    <w:p>
      <w:pPr>
        <w:spacing w:before="78" w:after="78"/>
        <w:ind w:left="480" w:leftChars="200" w:firstLine="0" w:firstLineChars="0"/>
      </w:pPr>
      <w:r>
        <w:rPr>
          <w:rFonts w:hint="eastAsia"/>
        </w:rPr>
        <w:t>（5）高清触摸屏：10 英寸，1280*800 像素 IPS 高清屏，多点触控屏，打造更流畅的操作体验。</w:t>
      </w:r>
    </w:p>
    <w:p>
      <w:pPr>
        <w:spacing w:before="78" w:after="78"/>
        <w:ind w:left="480" w:leftChars="200" w:firstLine="0" w:firstLineChars="0"/>
      </w:pPr>
      <w:r>
        <w:rPr>
          <w:rFonts w:hint="eastAsia"/>
        </w:rPr>
        <w:t>（6）6.Android 7.1 操作系统：完美适配各类应用 APP，实现行业应用智能化解决方案。</w:t>
      </w:r>
    </w:p>
    <w:p>
      <w:pPr>
        <w:spacing w:before="78" w:after="78"/>
        <w:ind w:left="480" w:leftChars="200" w:firstLine="0" w:firstLineChars="0"/>
      </w:pPr>
      <w:r>
        <w:rPr>
          <w:rFonts w:hint="eastAsia"/>
        </w:rPr>
        <w:t>（7）磁感应设计：叉簧、home 键都采用磁感应设计，可靠性更高。</w:t>
      </w:r>
    </w:p>
    <w:p>
      <w:pPr>
        <w:spacing w:before="78" w:after="78"/>
        <w:ind w:left="480" w:leftChars="200" w:firstLine="0" w:firstLineChars="0"/>
      </w:pPr>
      <w:r>
        <w:rPr>
          <w:rFonts w:hint="eastAsia"/>
        </w:rPr>
        <w:t>（</w:t>
      </w:r>
      <w:r>
        <w:t>8</w:t>
      </w:r>
      <w:r>
        <w:rPr>
          <w:rFonts w:hint="eastAsia"/>
        </w:rPr>
        <w:t>）更安全的摄像头：500 万像素、210 度翻转、广角摄像头，逆光成像。</w:t>
      </w:r>
    </w:p>
    <w:p>
      <w:pPr>
        <w:spacing w:before="78" w:after="78"/>
        <w:ind w:left="480" w:leftChars="200" w:firstLine="0" w:firstLineChars="0"/>
      </w:pPr>
      <w:r>
        <w:rPr>
          <w:rFonts w:hint="eastAsia"/>
        </w:rPr>
        <w:t>（</w:t>
      </w:r>
      <w:r>
        <w:t>9</w:t>
      </w:r>
      <w:r>
        <w:rPr>
          <w:rFonts w:hint="eastAsia"/>
        </w:rPr>
        <w:t>）WIFI 热点：话机具有 WiFi 热点功能，可供电脑、手机、IPAD 等设备上网。</w:t>
      </w:r>
    </w:p>
    <w:p>
      <w:pPr>
        <w:spacing w:before="78" w:after="78"/>
        <w:ind w:left="480" w:leftChars="200" w:firstLine="0" w:firstLineChars="0"/>
      </w:pPr>
      <w:r>
        <w:rPr>
          <w:rFonts w:hint="eastAsia"/>
        </w:rPr>
        <w:t>（</w:t>
      </w:r>
      <w:r>
        <w:t>10</w:t>
      </w:r>
      <w:r>
        <w:rPr>
          <w:rFonts w:hint="eastAsia"/>
        </w:rPr>
        <w:t>）企业通讯录：可批量导入导出，独立分组，查找便捷、办公更方便。</w:t>
      </w:r>
    </w:p>
    <w:p>
      <w:pPr>
        <w:spacing w:before="78" w:after="78"/>
        <w:ind w:left="480" w:leftChars="200" w:firstLine="0" w:firstLineChars="0"/>
      </w:pPr>
      <w:r>
        <w:rPr>
          <w:rFonts w:hint="eastAsia"/>
        </w:rPr>
        <w:t>（</w:t>
      </w:r>
      <w:r>
        <w:t>11</w:t>
      </w:r>
      <w:r>
        <w:rPr>
          <w:rFonts w:hint="eastAsia"/>
        </w:rPr>
        <w:t>）通话录音：支持通话录音，通话过程中可以自主选择是否进行录音。</w:t>
      </w:r>
    </w:p>
    <w:p>
      <w:pPr>
        <w:spacing w:before="78" w:after="78"/>
        <w:ind w:left="480" w:leftChars="200" w:firstLine="0" w:firstLineChars="0"/>
      </w:pPr>
      <w:r>
        <w:rPr>
          <w:rFonts w:hint="eastAsia"/>
        </w:rPr>
        <w:t>（</w:t>
      </w:r>
      <w:r>
        <w:t>12</w:t>
      </w:r>
      <w:r>
        <w:rPr>
          <w:rFonts w:hint="eastAsia"/>
        </w:rPr>
        <w:t>）隐私保护：多样式开机密码设置，更好保护电话机个人隐私。</w:t>
      </w:r>
    </w:p>
    <w:p>
      <w:pPr>
        <w:spacing w:before="78" w:after="78"/>
        <w:ind w:left="480" w:leftChars="200" w:firstLine="0" w:firstLineChars="0"/>
      </w:pPr>
      <w:r>
        <w:rPr>
          <w:rFonts w:hint="eastAsia"/>
        </w:rPr>
        <w:t>（</w:t>
      </w:r>
      <w:r>
        <w:t>13</w:t>
      </w:r>
      <w:r>
        <w:rPr>
          <w:rFonts w:hint="eastAsia"/>
        </w:rPr>
        <w:t>）更多功能：日历、相册、时钟、浏览器、计算器。</w:t>
      </w:r>
    </w:p>
    <w:p>
      <w:pPr>
        <w:pStyle w:val="6"/>
        <w:rPr>
          <w:lang w:val="zh-CN"/>
        </w:rPr>
      </w:pPr>
      <w:r>
        <w:rPr>
          <w:rFonts w:hint="eastAsia"/>
          <w:lang w:val="zh-CN"/>
        </w:rPr>
        <w:t>联合接访</w:t>
      </w:r>
    </w:p>
    <w:p>
      <w:pPr>
        <w:spacing w:before="78" w:after="78"/>
        <w:ind w:firstLine="480"/>
      </w:pPr>
      <w:r>
        <w:rPr>
          <w:rFonts w:hint="eastAsia"/>
        </w:rPr>
        <w:t>平台为市、县级党委和政府提供联合接访功能，根据工作需要组织有关机关、单位同一信访事件“联合接待”，共同处理，一站式解决信访问题。联合信访系统，有利于群众向上级信访机关反映诉求，减轻劳累奔波之苦；上下级信访机关可远程示证，共同研究解决群众诉求的方法；上下级信访机关联合接访，促进息诉罢访。</w:t>
      </w:r>
    </w:p>
    <w:p>
      <w:pPr>
        <w:spacing w:before="78" w:after="78"/>
        <w:ind w:firstLine="480"/>
      </w:pPr>
      <w:r>
        <w:rPr>
          <w:rFonts w:hint="eastAsia"/>
        </w:rPr>
        <w:t>支持远程会议、远程信访、远程培训等活动开展，满足信访局日常会议应用。</w:t>
      </w:r>
    </w:p>
    <w:p>
      <w:pPr>
        <w:spacing w:before="78" w:after="78"/>
        <w:ind w:firstLine="480"/>
      </w:pPr>
      <w:r>
        <w:rPr>
          <w:rFonts w:hint="eastAsia"/>
        </w:rPr>
        <w:t>（1）接访视频录播</w:t>
      </w:r>
    </w:p>
    <w:p>
      <w:pPr>
        <w:spacing w:before="78" w:after="78"/>
        <w:ind w:firstLine="480"/>
      </w:pPr>
      <w:r>
        <w:rPr>
          <w:rFonts w:hint="eastAsia"/>
        </w:rPr>
        <w:t>录制接访视频内容并保存信访内容，供后续调用、查看，和上级领导评审参考。</w:t>
      </w:r>
    </w:p>
    <w:p>
      <w:pPr>
        <w:spacing w:before="78" w:after="78"/>
        <w:ind w:firstLine="480"/>
      </w:pPr>
      <w:r>
        <w:rPr>
          <w:rFonts w:hint="eastAsia"/>
        </w:rPr>
        <w:t>（</w:t>
      </w:r>
      <w:r>
        <w:t>2</w:t>
      </w:r>
      <w:r>
        <w:rPr>
          <w:rFonts w:hint="eastAsia"/>
        </w:rPr>
        <w:t>）证据展示</w:t>
      </w:r>
    </w:p>
    <w:p>
      <w:pPr>
        <w:spacing w:before="78" w:after="78"/>
        <w:ind w:firstLine="480"/>
      </w:pPr>
      <w:r>
        <w:rPr>
          <w:rFonts w:hint="eastAsia"/>
        </w:rPr>
        <w:t>支持实物证据及电子证据展示两种呈现方式，通过视频终端的双流功能实现电子物证PC或实物物证摄录展台的证据材料、申诉材料的远程传输和展示。</w:t>
      </w:r>
    </w:p>
    <w:p>
      <w:pPr>
        <w:spacing w:before="78" w:after="78"/>
        <w:ind w:firstLine="480"/>
      </w:pPr>
      <w:r>
        <w:rPr>
          <w:rFonts w:hint="eastAsia"/>
        </w:rPr>
        <w:t>（</w:t>
      </w:r>
      <w:r>
        <w:t>3</w:t>
      </w:r>
      <w:r>
        <w:rPr>
          <w:rFonts w:hint="eastAsia"/>
        </w:rPr>
        <w:t>）联合接访业务流程</w:t>
      </w:r>
    </w:p>
    <w:p>
      <w:pPr>
        <w:pStyle w:val="43"/>
        <w:numPr>
          <w:ilvl w:val="0"/>
          <w:numId w:val="23"/>
        </w:numPr>
        <w:spacing w:before="78" w:after="78"/>
      </w:pPr>
      <w:r>
        <w:rPr>
          <w:rFonts w:hint="eastAsia"/>
        </w:rPr>
        <w:t>创建联合接访任务：群众走访时通过视频连线（也可提前预约联合接访任务），录入信访事项信息，责任单位进入联合接访会议室</w:t>
      </w:r>
    </w:p>
    <w:p>
      <w:pPr>
        <w:pStyle w:val="43"/>
        <w:numPr>
          <w:ilvl w:val="0"/>
          <w:numId w:val="23"/>
        </w:numPr>
        <w:spacing w:before="78" w:after="78"/>
      </w:pPr>
      <w:r>
        <w:rPr>
          <w:rFonts w:hint="eastAsia"/>
        </w:rPr>
        <w:t>责任单位实时连线：联合接访的单位接收邀请，协同单位与群众实时连线，‘面对面’接访共同解决问题，接访过程中可以选择录像</w:t>
      </w:r>
    </w:p>
    <w:p>
      <w:pPr>
        <w:pStyle w:val="43"/>
        <w:numPr>
          <w:ilvl w:val="0"/>
          <w:numId w:val="23"/>
        </w:numPr>
        <w:spacing w:before="78" w:after="78"/>
      </w:pPr>
      <w:r>
        <w:rPr>
          <w:rFonts w:hint="eastAsia"/>
        </w:rPr>
        <w:t>联合接访任务查询：接访任务完成后，保存联合接访处理结果，保存联合接访视频，为后续工作开展提供依据，并查看事项办理情况。</w:t>
      </w:r>
    </w:p>
    <w:p>
      <w:pPr>
        <w:pStyle w:val="6"/>
        <w:rPr>
          <w:lang w:val="zh-CN"/>
        </w:rPr>
      </w:pPr>
      <w:r>
        <w:rPr>
          <w:rFonts w:hint="eastAsia"/>
          <w:lang w:val="zh-CN"/>
        </w:rPr>
        <w:t xml:space="preserve"> 联合会商</w:t>
      </w:r>
    </w:p>
    <w:p>
      <w:pPr>
        <w:spacing w:before="78" w:after="78"/>
        <w:ind w:firstLine="480"/>
      </w:pPr>
      <w:r>
        <w:rPr>
          <w:rFonts w:hint="eastAsia"/>
        </w:rPr>
        <w:t>针对复杂疑难信访问题，平台提供远程高清视频会商功能，按照“一案一分析、一案一方案”原则,对涉及多个部门的信访事项,组织协调相关责任部门参与会商,共同研究制定解决方案。</w:t>
      </w:r>
    </w:p>
    <w:p>
      <w:pPr>
        <w:spacing w:before="78" w:after="78"/>
        <w:ind w:firstLine="480"/>
      </w:pPr>
      <w:r>
        <w:rPr>
          <w:rFonts w:hint="eastAsia"/>
        </w:rPr>
        <w:t>（1）联合会商协作分享</w:t>
      </w:r>
    </w:p>
    <w:p>
      <w:pPr>
        <w:spacing w:before="78" w:after="78"/>
        <w:ind w:firstLine="480"/>
      </w:pPr>
      <w:r>
        <w:rPr>
          <w:rFonts w:hint="eastAsia"/>
        </w:rPr>
        <w:t>满足同一会场内不同坐席间的会商内容分享与协同操作，充分满足联合会商会议研讨、实时跨屏幕业务交流的使用需求。</w:t>
      </w:r>
    </w:p>
    <w:p>
      <w:pPr>
        <w:spacing w:before="78" w:after="78"/>
        <w:ind w:firstLine="480"/>
      </w:pPr>
      <w:r>
        <w:rPr>
          <w:rFonts w:hint="eastAsia"/>
        </w:rPr>
        <w:t>（</w:t>
      </w:r>
      <w:r>
        <w:t>2</w:t>
      </w:r>
      <w:r>
        <w:rPr>
          <w:rFonts w:hint="eastAsia"/>
        </w:rPr>
        <w:t>）会商业务互推互控</w:t>
      </w:r>
    </w:p>
    <w:p>
      <w:pPr>
        <w:spacing w:before="78" w:after="78"/>
        <w:ind w:firstLine="480"/>
      </w:pPr>
      <w:r>
        <w:rPr>
          <w:rFonts w:hint="eastAsia"/>
        </w:rPr>
        <w:t>可实现异地业务电子文件材料的审阅批注、多屏分发，跨屏文档协同、文档传输、语音会议等功能。</w:t>
      </w:r>
    </w:p>
    <w:p>
      <w:pPr>
        <w:spacing w:before="78" w:after="78"/>
        <w:ind w:firstLine="480"/>
      </w:pPr>
      <w:r>
        <w:rPr>
          <w:rFonts w:hint="eastAsia"/>
        </w:rPr>
        <w:t>（3）联合会商业务流程</w:t>
      </w:r>
    </w:p>
    <w:p>
      <w:pPr>
        <w:pStyle w:val="43"/>
        <w:numPr>
          <w:ilvl w:val="0"/>
          <w:numId w:val="24"/>
        </w:numPr>
        <w:spacing w:before="78" w:after="78"/>
      </w:pPr>
      <w:r>
        <w:rPr>
          <w:rFonts w:hint="eastAsia"/>
        </w:rPr>
        <w:t>创建任务：选择疑难案件，创建联合会商任务，参与会商责任单位接收联合会商任务邀请</w:t>
      </w:r>
    </w:p>
    <w:p>
      <w:pPr>
        <w:pStyle w:val="43"/>
        <w:numPr>
          <w:ilvl w:val="0"/>
          <w:numId w:val="24"/>
        </w:numPr>
        <w:spacing w:before="78" w:after="78"/>
      </w:pPr>
      <w:r>
        <w:rPr>
          <w:rFonts w:hint="eastAsia"/>
        </w:rPr>
        <w:t>联合会商：不同责任单位协同就疑难案件进行视频连线（白板）操作，过程录像，会商讨论信访内容记录，并保存</w:t>
      </w:r>
    </w:p>
    <w:p>
      <w:pPr>
        <w:pStyle w:val="43"/>
        <w:numPr>
          <w:ilvl w:val="0"/>
          <w:numId w:val="24"/>
        </w:numPr>
        <w:spacing w:before="78" w:after="78"/>
      </w:pPr>
      <w:r>
        <w:rPr>
          <w:rFonts w:hint="eastAsia"/>
        </w:rPr>
        <w:t>任务管理：联合会商任务标记是否处理完成标记，并关联会商过程录像，为后续案件处理开展提供决策依据。</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短信通道服务</w:t>
      </w:r>
    </w:p>
    <w:p>
      <w:pPr>
        <w:pStyle w:val="6"/>
        <w:rPr>
          <w:lang w:val="zh-CN"/>
        </w:rPr>
      </w:pPr>
      <w:r>
        <w:rPr>
          <w:rFonts w:hint="eastAsia"/>
          <w:lang w:val="zh-CN"/>
        </w:rPr>
        <w:t>短信通信能力</w:t>
      </w:r>
    </w:p>
    <w:p>
      <w:pPr>
        <w:spacing w:before="78" w:after="78"/>
        <w:ind w:left="420" w:leftChars="175" w:firstLine="0" w:firstLineChars="0"/>
      </w:pPr>
      <w:r>
        <w:rPr>
          <w:rFonts w:hint="eastAsia"/>
        </w:rPr>
        <w:t>（1）短信服务系统支持负载均衡部署，支持短信上行、下行服务能力。</w:t>
      </w:r>
    </w:p>
    <w:p>
      <w:pPr>
        <w:spacing w:before="78" w:after="78"/>
        <w:ind w:left="420" w:leftChars="175" w:firstLine="0" w:firstLineChars="0"/>
      </w:pPr>
      <w:r>
        <w:rPr>
          <w:rFonts w:hint="eastAsia"/>
        </w:rPr>
        <w:t>（2）短信发送状态报告回执，短信发送成功或失败后，返回状态报告。</w:t>
      </w:r>
    </w:p>
    <w:p>
      <w:pPr>
        <w:spacing w:before="78" w:after="78"/>
        <w:ind w:left="420" w:leftChars="175" w:firstLine="0" w:firstLineChars="0"/>
      </w:pPr>
      <w:r>
        <w:rPr>
          <w:rFonts w:hint="eastAsia"/>
        </w:rPr>
        <w:t>（3）全网用户发送，建设短信平台，能对电信、移动、联通的手机用户进行短信发送。</w:t>
      </w:r>
    </w:p>
    <w:p>
      <w:pPr>
        <w:spacing w:before="78" w:after="78"/>
        <w:ind w:left="420" w:leftChars="175" w:firstLine="0" w:firstLineChars="0"/>
      </w:pPr>
      <w:r>
        <w:rPr>
          <w:rFonts w:hint="eastAsia"/>
        </w:rPr>
        <w:t>（4）短信接收手机号码不需要设置白名单。</w:t>
      </w:r>
    </w:p>
    <w:p>
      <w:pPr>
        <w:spacing w:before="78" w:after="78"/>
        <w:ind w:left="420" w:leftChars="175" w:firstLine="0" w:firstLineChars="0"/>
      </w:pPr>
      <w:r>
        <w:rPr>
          <w:rFonts w:hint="eastAsia"/>
        </w:rPr>
        <w:t>（5）移动、联通、电信手机用户的短信发送号相同。</w:t>
      </w:r>
    </w:p>
    <w:p>
      <w:pPr>
        <w:spacing w:before="78" w:after="78"/>
        <w:ind w:left="420" w:leftChars="175" w:firstLine="0" w:firstLineChars="0"/>
      </w:pPr>
      <w:r>
        <w:rPr>
          <w:rFonts w:hint="eastAsia"/>
        </w:rPr>
        <w:t>（6）短信上行。短信平台支持短信平台所有短信接入号的上行短信接收和存储。</w:t>
      </w:r>
    </w:p>
    <w:p>
      <w:pPr>
        <w:spacing w:before="78" w:after="78"/>
        <w:ind w:left="420" w:leftChars="175" w:firstLine="0" w:firstLineChars="0"/>
      </w:pPr>
      <w:r>
        <w:rPr>
          <w:rFonts w:hint="eastAsia"/>
        </w:rPr>
        <w:t xml:space="preserve">（7）长短信发送支持。短信平台支持长短信发送。 </w:t>
      </w:r>
    </w:p>
    <w:p>
      <w:pPr>
        <w:spacing w:before="78" w:after="78"/>
        <w:ind w:left="420" w:leftChars="175" w:firstLine="0" w:firstLineChars="0"/>
      </w:pPr>
      <w:r>
        <w:rPr>
          <w:rFonts w:hint="eastAsia"/>
        </w:rPr>
        <w:t>（8）短信平台容量。100条/秒并发量，月短信发送总量至少30000条。</w:t>
      </w:r>
    </w:p>
    <w:p>
      <w:pPr>
        <w:pStyle w:val="6"/>
        <w:rPr>
          <w:lang w:val="zh-CN"/>
        </w:rPr>
      </w:pPr>
      <w:r>
        <w:rPr>
          <w:rFonts w:hint="eastAsia"/>
          <w:lang w:val="zh-CN"/>
        </w:rPr>
        <w:t>短信服务功能</w:t>
      </w:r>
    </w:p>
    <w:p>
      <w:pPr>
        <w:spacing w:before="78" w:after="78"/>
        <w:ind w:left="420" w:leftChars="175" w:firstLine="0" w:firstLineChars="0"/>
      </w:pPr>
      <w:r>
        <w:rPr>
          <w:rFonts w:hint="eastAsia"/>
        </w:rPr>
        <w:t>（1）发送功能：具备WEB页面发送短信和短信接口发送短信功能，包含权限管理、短信内容编辑、接口管理、短信发送统计报表等功能。</w:t>
      </w:r>
    </w:p>
    <w:p>
      <w:pPr>
        <w:spacing w:before="78" w:after="78"/>
        <w:ind w:left="420" w:leftChars="175" w:firstLine="0" w:firstLineChars="0"/>
      </w:pPr>
      <w:r>
        <w:rPr>
          <w:rFonts w:hint="eastAsia"/>
        </w:rPr>
        <w:t>（</w:t>
      </w:r>
      <w:r>
        <w:t>2</w:t>
      </w:r>
      <w:r>
        <w:rPr>
          <w:rFonts w:hint="eastAsia"/>
        </w:rPr>
        <w:t>）发送内容：重要信访件通过短信或微信模板消息推送通知，预警信息短信推送通知；由工作人员录入信访件是选择否推送。</w:t>
      </w:r>
    </w:p>
    <w:p>
      <w:pPr>
        <w:spacing w:before="78" w:after="78"/>
        <w:ind w:left="420" w:leftChars="175" w:firstLine="0" w:firstLineChars="0"/>
      </w:pPr>
      <w:r>
        <w:rPr>
          <w:rFonts w:hint="eastAsia"/>
        </w:rPr>
        <w:t>（</w:t>
      </w:r>
      <w:r>
        <w:t>3</w:t>
      </w:r>
      <w:r>
        <w:rPr>
          <w:rFonts w:hint="eastAsia"/>
        </w:rPr>
        <w:t>）发送对象：信访人（需要推送的信访件）、重点风险人员预警信息推送给责任单位。</w:t>
      </w:r>
    </w:p>
    <w:p>
      <w:pPr>
        <w:spacing w:before="78" w:after="78"/>
        <w:ind w:left="420" w:leftChars="175" w:firstLine="0" w:firstLineChars="0"/>
      </w:pPr>
      <w:r>
        <w:rPr>
          <w:rFonts w:hint="eastAsia"/>
        </w:rPr>
        <w:t>（</w:t>
      </w:r>
      <w:r>
        <w:t>4</w:t>
      </w:r>
      <w:r>
        <w:rPr>
          <w:rFonts w:hint="eastAsia"/>
        </w:rPr>
        <w:t>）状态报告：短信发送成功或失败后，返回状态报告。</w:t>
      </w:r>
    </w:p>
    <w:p>
      <w:pPr>
        <w:pStyle w:val="6"/>
        <w:rPr>
          <w:lang w:val="zh-CN"/>
        </w:rPr>
      </w:pPr>
      <w:r>
        <w:rPr>
          <w:rFonts w:hint="eastAsia"/>
          <w:lang w:val="zh-CN"/>
        </w:rPr>
        <w:t>业务办理到期提醒</w:t>
      </w:r>
    </w:p>
    <w:p>
      <w:pPr>
        <w:spacing w:before="78" w:after="78"/>
        <w:ind w:left="420" w:leftChars="175" w:firstLine="0" w:firstLineChars="0"/>
      </w:pPr>
      <w:r>
        <w:rPr>
          <w:rFonts w:hint="eastAsia"/>
        </w:rPr>
        <w:t>（</w:t>
      </w:r>
      <w:r>
        <w:t>1</w:t>
      </w:r>
      <w:r>
        <w:rPr>
          <w:rFonts w:hint="eastAsia"/>
        </w:rPr>
        <w:t>）业务工作人员信访事件短信“提醒”：办理到期提醒，可设置提醒时间。</w:t>
      </w:r>
    </w:p>
    <w:p>
      <w:pPr>
        <w:spacing w:before="78" w:after="78"/>
        <w:ind w:left="420" w:leftChars="175" w:firstLine="0" w:firstLineChars="0"/>
      </w:pPr>
      <w:r>
        <w:rPr>
          <w:rFonts w:hint="eastAsia"/>
        </w:rPr>
        <w:t>（</w:t>
      </w:r>
      <w:r>
        <w:t>2</w:t>
      </w:r>
      <w:r>
        <w:rPr>
          <w:rFonts w:hint="eastAsia"/>
        </w:rPr>
        <w:t>）当天办理信件数量通知：待办理信件数量提醒/重点监测事件提醒等。</w:t>
      </w:r>
    </w:p>
    <w:p>
      <w:pPr>
        <w:spacing w:before="78" w:after="78"/>
        <w:ind w:left="420" w:leftChars="175" w:firstLine="0" w:firstLineChars="0"/>
      </w:pPr>
      <w:r>
        <w:rPr>
          <w:rFonts w:hint="eastAsia"/>
        </w:rPr>
        <w:t>（</w:t>
      </w:r>
      <w:r>
        <w:t>3</w:t>
      </w:r>
      <w:r>
        <w:rPr>
          <w:rFonts w:hint="eastAsia"/>
        </w:rPr>
        <w:t>）已办理信件等数量统计推送，点击跳转查看详情：时间、人物、事件、办理进度等。</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数据对接</w:t>
      </w:r>
    </w:p>
    <w:p>
      <w:pPr>
        <w:pStyle w:val="6"/>
        <w:rPr>
          <w:lang w:val="zh-CN"/>
        </w:rPr>
      </w:pPr>
      <w:r>
        <w:rPr>
          <w:rFonts w:hint="eastAsia"/>
          <w:lang w:val="zh-CN"/>
        </w:rPr>
        <w:t>概述</w:t>
      </w:r>
    </w:p>
    <w:p>
      <w:pPr>
        <w:spacing w:before="78" w:after="78"/>
        <w:ind w:firstLine="480"/>
      </w:pPr>
      <w:r>
        <w:rPr>
          <w:rFonts w:hint="eastAsia"/>
        </w:rPr>
        <w:t>多渠道数据的统一接入及处理，达州信访数据分析平台业务更全，数据覆盖更广，达到达州智慧信访数据分析结果更精准。</w:t>
      </w:r>
    </w:p>
    <w:p>
      <w:pPr>
        <w:pStyle w:val="6"/>
        <w:rPr>
          <w:lang w:val="zh-CN"/>
        </w:rPr>
      </w:pPr>
      <w:r>
        <w:rPr>
          <w:rFonts w:hint="eastAsia"/>
          <w:lang w:val="zh-CN"/>
        </w:rPr>
        <w:t>必要数据对接</w:t>
      </w:r>
    </w:p>
    <w:p>
      <w:pPr>
        <w:spacing w:before="78" w:after="78"/>
        <w:ind w:left="420" w:leftChars="175" w:firstLine="0" w:firstLineChars="0"/>
      </w:pPr>
      <w:r>
        <w:rPr>
          <w:rFonts w:hint="eastAsia"/>
        </w:rPr>
        <w:t>（1）信访局已有的必要的接入信访大数据分析系统的对接数据。</w:t>
      </w:r>
    </w:p>
    <w:p>
      <w:pPr>
        <w:spacing w:before="78" w:after="78"/>
        <w:ind w:left="420" w:leftChars="175" w:firstLine="0" w:firstLineChars="0"/>
      </w:pPr>
      <w:r>
        <w:rPr>
          <w:rFonts w:hint="eastAsia"/>
        </w:rPr>
        <w:t>（2）信访数据：对接四川省信访系统获取当前信访数据和历史信访数据。</w:t>
      </w:r>
    </w:p>
    <w:p>
      <w:pPr>
        <w:spacing w:before="78" w:after="78"/>
        <w:ind w:left="420" w:leftChars="175" w:firstLine="0" w:firstLineChars="0"/>
      </w:pPr>
      <w:r>
        <w:rPr>
          <w:rFonts w:hint="eastAsia"/>
        </w:rPr>
        <w:t>（3）走访数据：基层工作人员录入的走访数据。</w:t>
      </w:r>
    </w:p>
    <w:p>
      <w:pPr>
        <w:pStyle w:val="6"/>
        <w:rPr>
          <w:lang w:val="zh-CN"/>
        </w:rPr>
      </w:pPr>
      <w:r>
        <w:rPr>
          <w:rFonts w:hint="eastAsia"/>
          <w:lang w:val="zh-CN"/>
        </w:rPr>
        <w:t>扩展数据对接</w:t>
      </w:r>
    </w:p>
    <w:p>
      <w:pPr>
        <w:spacing w:before="78" w:after="78"/>
        <w:ind w:firstLine="439" w:firstLineChars="183"/>
      </w:pPr>
      <w:r>
        <w:rPr>
          <w:rFonts w:hint="eastAsia"/>
        </w:rPr>
        <w:t>（1）扩展数据对接不影响系统建设。</w:t>
      </w:r>
    </w:p>
    <w:p>
      <w:pPr>
        <w:spacing w:before="78" w:after="78"/>
        <w:ind w:left="420" w:leftChars="175" w:firstLine="0" w:firstLineChars="0"/>
      </w:pPr>
      <w:r>
        <w:rPr>
          <w:rFonts w:hint="eastAsia"/>
        </w:rPr>
        <w:t>（</w:t>
      </w:r>
      <w:r>
        <w:t>2</w:t>
      </w:r>
      <w:r>
        <w:rPr>
          <w:rFonts w:hint="eastAsia"/>
        </w:rPr>
        <w:t>）信访相关业务数据：与各业务部门的数据对接，确认数据的准确性和接入难度（政法委（综治中心系统）、公安（重点人员管控数据）、城市大脑、12345市民热线、舆情管控【重点舆情专题、话题关注】等）。</w:t>
      </w:r>
    </w:p>
    <w:p>
      <w:pPr>
        <w:spacing w:before="78" w:after="78"/>
        <w:ind w:left="420" w:leftChars="175" w:firstLine="240" w:firstLineChars="100"/>
      </w:pPr>
      <w:r>
        <w:rPr>
          <w:rFonts w:hint="eastAsia"/>
        </w:rPr>
        <w:t>（</w:t>
      </w:r>
      <w:r>
        <w:t>3</w:t>
      </w:r>
      <w:r>
        <w:rPr>
          <w:rFonts w:hint="eastAsia"/>
        </w:rPr>
        <w:t>）重点人员数据：雪亮工程、天网工程、重点人员信息库、乡道上面的天网工程系统抓拍到的重点监控人员。与第三方系统对接后进行预警消息推送，反馈给信访责任单位的系统、与天网/公安系统对接的人脸识别精准预警及消息推送给各个责任单位及相关系统。</w:t>
      </w:r>
    </w:p>
    <w:p>
      <w:pPr>
        <w:pStyle w:val="5"/>
        <w:tabs>
          <w:tab w:val="left" w:pos="1080"/>
        </w:tabs>
        <w:spacing w:line="360" w:lineRule="auto"/>
        <w:ind w:left="0"/>
        <w:rPr>
          <w:rFonts w:ascii="Times New Roman" w:hAnsi="Times New Roman" w:cstheme="minorBidi"/>
          <w:sz w:val="32"/>
          <w:szCs w:val="32"/>
        </w:rPr>
      </w:pPr>
      <w:r>
        <w:rPr>
          <w:rFonts w:hint="eastAsia" w:ascii="Times New Roman" w:hAnsi="Times New Roman" w:cstheme="minorBidi"/>
          <w:sz w:val="32"/>
          <w:szCs w:val="32"/>
        </w:rPr>
        <w:t>数据预处理</w:t>
      </w:r>
    </w:p>
    <w:p>
      <w:pPr>
        <w:spacing w:before="78" w:after="78"/>
        <w:ind w:firstLine="480"/>
      </w:pPr>
      <w:r>
        <w:rPr>
          <w:rFonts w:hint="eastAsia"/>
        </w:rPr>
        <w:t>数据预处理的过程包含数据清洗、数据规约、词库构建等过程，是为后续数据挖掘分析提供完整有效的数据集。</w:t>
      </w:r>
    </w:p>
    <w:p>
      <w:pPr>
        <w:pStyle w:val="6"/>
        <w:rPr>
          <w:lang w:val="zh-CN"/>
        </w:rPr>
      </w:pPr>
      <w:r>
        <w:rPr>
          <w:rFonts w:hint="eastAsia"/>
          <w:lang w:val="zh-CN"/>
        </w:rPr>
        <w:t>数据整理</w:t>
      </w:r>
    </w:p>
    <w:p>
      <w:pPr>
        <w:spacing w:before="78" w:after="78"/>
        <w:ind w:firstLine="480"/>
      </w:pPr>
      <w:r>
        <w:rPr>
          <w:rFonts w:hint="eastAsia"/>
        </w:rPr>
        <w:t>数据整理旨在将原始数据存储入库前，进行的数据清洗、异常处理、数据规约等操作，以减少原始数据中的噪音，并以合适的结构存储。并且由于数据来源多样，需探索各数据源间的关联关系，找出可将不同数据源（如12345与网络问政）进行关联整合的字段信息。</w:t>
      </w:r>
    </w:p>
    <w:p>
      <w:pPr>
        <w:pStyle w:val="6"/>
        <w:rPr>
          <w:lang w:val="zh-CN"/>
        </w:rPr>
      </w:pPr>
      <w:r>
        <w:rPr>
          <w:rFonts w:hint="eastAsia"/>
          <w:lang w:val="zh-CN"/>
        </w:rPr>
        <w:t>词库构建</w:t>
      </w:r>
    </w:p>
    <w:p>
      <w:pPr>
        <w:spacing w:before="78" w:after="78"/>
        <w:ind w:firstLine="480"/>
      </w:pPr>
      <w:r>
        <w:rPr>
          <w:rFonts w:hint="eastAsia"/>
        </w:rPr>
        <w:t>由于本项目所分析的数据结构为文本数据，目前为达到一定效果，文本处理还需根据特定场景构建业务相关词库，如信访专业词库、网络词库等，以辅助挖掘分析。</w:t>
      </w:r>
    </w:p>
    <w:p>
      <w:pPr>
        <w:pStyle w:val="6"/>
        <w:rPr>
          <w:lang w:val="zh-CN"/>
        </w:rPr>
      </w:pPr>
      <w:r>
        <w:rPr>
          <w:rFonts w:hint="eastAsia"/>
          <w:lang w:val="zh-CN"/>
        </w:rPr>
        <w:t>典型案例库构建</w:t>
      </w:r>
    </w:p>
    <w:p>
      <w:pPr>
        <w:spacing w:before="78" w:after="78"/>
        <w:ind w:firstLine="480"/>
      </w:pPr>
      <w:r>
        <w:rPr>
          <w:rFonts w:hint="eastAsia"/>
        </w:rPr>
        <w:t>构建管理典型信访案例，包括案例详情、处理意见、回复反馈意见、办结前后投诉量等信息，作为后续典型案例推荐以辅助决策的基础。</w:t>
      </w:r>
    </w:p>
    <w:p>
      <w:pPr>
        <w:pStyle w:val="6"/>
        <w:rPr>
          <w:lang w:val="zh-CN"/>
        </w:rPr>
      </w:pPr>
      <w:r>
        <w:rPr>
          <w:rFonts w:hint="eastAsia"/>
          <w:lang w:val="zh-CN"/>
        </w:rPr>
        <w:t>信件自动摘要</w:t>
      </w:r>
    </w:p>
    <w:p>
      <w:pPr>
        <w:spacing w:before="78" w:after="78"/>
        <w:ind w:firstLine="480"/>
      </w:pPr>
      <w:r>
        <w:rPr>
          <w:rFonts w:hint="eastAsia"/>
        </w:rPr>
        <w:t>信件自动摘要是针对网信等诉求内容较长的文本信息进行的处理。自动摘要处理的目的是将信访详细内容这一长文本转化为短文本，提升信访文件的处理和反馈速度，并为后期的信访事件识别奠定基础。</w:t>
      </w:r>
    </w:p>
    <w:p>
      <w:pPr>
        <w:pStyle w:val="6"/>
        <w:rPr>
          <w:lang w:val="zh-CN"/>
        </w:rPr>
      </w:pPr>
      <w:r>
        <w:rPr>
          <w:rFonts w:hint="eastAsia"/>
          <w:lang w:val="zh-CN"/>
        </w:rPr>
        <w:t>事件识别</w:t>
      </w:r>
    </w:p>
    <w:p>
      <w:pPr>
        <w:spacing w:before="78" w:after="78"/>
        <w:ind w:firstLine="480"/>
      </w:pPr>
      <w:r>
        <w:rPr>
          <w:rFonts w:hint="eastAsia"/>
        </w:rPr>
        <w:t>当相同或不同信访人描述的现象及需求比较接近时，可将其视为一个信访事件。事件识别是将单一的信访诉求根据内容及属性进行事件归类的过程。如何判别一份新的诉求是否为新的事件或与历史诉求为同一事件，是进一步实现热点事件、矛盾事件等的基础。</w:t>
      </w:r>
    </w:p>
    <w:p>
      <w:pPr>
        <w:pStyle w:val="4"/>
        <w:tabs>
          <w:tab w:val="left" w:pos="1080"/>
        </w:tabs>
        <w:spacing w:before="312" w:line="360" w:lineRule="auto"/>
        <w:ind w:left="0"/>
      </w:pPr>
      <w:bookmarkStart w:id="23" w:name="_Toc492650538"/>
      <w:bookmarkStart w:id="24" w:name="_Toc117833364"/>
      <w:r>
        <w:rPr>
          <w:rFonts w:hint="eastAsia"/>
        </w:rPr>
        <w:t>网络系统建设内容</w:t>
      </w:r>
      <w:bookmarkEnd w:id="23"/>
      <w:bookmarkEnd w:id="24"/>
    </w:p>
    <w:p>
      <w:pPr>
        <w:spacing w:before="78" w:after="78"/>
        <w:ind w:firstLine="480"/>
      </w:pPr>
      <w:r>
        <w:rPr>
          <w:rFonts w:hint="eastAsia"/>
        </w:rPr>
        <w:t>系统搭建在政务云。</w:t>
      </w:r>
    </w:p>
    <w:p>
      <w:pPr>
        <w:pStyle w:val="4"/>
        <w:tabs>
          <w:tab w:val="left" w:pos="1080"/>
        </w:tabs>
        <w:spacing w:before="312" w:line="360" w:lineRule="auto"/>
        <w:ind w:left="0"/>
      </w:pPr>
      <w:bookmarkStart w:id="25" w:name="_Toc492650539"/>
      <w:bookmarkStart w:id="26" w:name="_Toc117833365"/>
      <w:r>
        <w:rPr>
          <w:rFonts w:hint="eastAsia"/>
        </w:rPr>
        <w:t>服务器、存储系统建设内容</w:t>
      </w:r>
      <w:bookmarkEnd w:id="25"/>
      <w:bookmarkEnd w:id="26"/>
    </w:p>
    <w:p>
      <w:pPr>
        <w:pStyle w:val="5"/>
        <w:tabs>
          <w:tab w:val="left" w:pos="1080"/>
        </w:tabs>
        <w:spacing w:line="360" w:lineRule="auto"/>
        <w:ind w:left="0"/>
        <w:rPr>
          <w:rFonts w:ascii="Times New Roman"/>
          <w:lang w:val="zh-CN"/>
        </w:rPr>
      </w:pPr>
      <w:r>
        <w:rPr>
          <w:rFonts w:hint="eastAsia" w:ascii="Times New Roman"/>
          <w:lang w:val="zh-CN"/>
        </w:rPr>
        <w:t>政务云服务器</w:t>
      </w:r>
    </w:p>
    <w:p>
      <w:pPr>
        <w:spacing w:before="78" w:after="78"/>
        <w:ind w:firstLine="482"/>
        <w:rPr>
          <w:b/>
        </w:rPr>
      </w:pPr>
      <w:r>
        <w:rPr>
          <w:b/>
        </w:rPr>
        <w:t>WEB/应用服务器</w:t>
      </w:r>
      <w:r>
        <w:rPr>
          <w:rFonts w:hint="eastAsia"/>
          <w:b/>
        </w:rPr>
        <w:t>（</w:t>
      </w:r>
      <w:r>
        <w:rPr>
          <w:b/>
        </w:rPr>
        <w:t>4</w:t>
      </w:r>
      <w:r>
        <w:rPr>
          <w:rFonts w:hint="eastAsia"/>
          <w:b/>
        </w:rPr>
        <w:t>台，负载均衡部署）：</w:t>
      </w:r>
    </w:p>
    <w:p>
      <w:pPr>
        <w:spacing w:before="78" w:after="78"/>
        <w:ind w:firstLine="480"/>
      </w:pPr>
      <w:r>
        <w:t>产品类别：</w:t>
      </w:r>
      <w:r>
        <w:rPr>
          <w:rFonts w:hint="eastAsia"/>
        </w:rPr>
        <w:t>云服务</w:t>
      </w:r>
    </w:p>
    <w:p>
      <w:pPr>
        <w:spacing w:before="78" w:after="78"/>
        <w:ind w:firstLine="480"/>
      </w:pPr>
      <w:r>
        <w:t>CPU型号：</w:t>
      </w:r>
      <w:r>
        <w:rPr>
          <w:rFonts w:hint="eastAsia"/>
        </w:rPr>
        <w:t>Xeon E5-2650V3，2.3GHz/2133MHz/25MB及以上</w:t>
      </w:r>
    </w:p>
    <w:p>
      <w:pPr>
        <w:spacing w:before="78" w:after="78"/>
        <w:ind w:firstLine="480"/>
      </w:pPr>
      <w:r>
        <w:t>标配CPU</w:t>
      </w:r>
      <w:r>
        <w:rPr>
          <w:rFonts w:hint="eastAsia"/>
        </w:rPr>
        <w:t>核</w:t>
      </w:r>
      <w:r>
        <w:t>数量：4</w:t>
      </w:r>
      <w:r>
        <w:rPr>
          <w:rFonts w:hint="eastAsia"/>
        </w:rPr>
        <w:t>核</w:t>
      </w:r>
    </w:p>
    <w:p>
      <w:pPr>
        <w:spacing w:before="78" w:after="78"/>
        <w:ind w:firstLine="480"/>
      </w:pPr>
      <w:r>
        <w:t>内存容量：16GB</w:t>
      </w:r>
    </w:p>
    <w:p>
      <w:pPr>
        <w:spacing w:before="78" w:after="78"/>
        <w:ind w:firstLine="480"/>
      </w:pPr>
      <w:r>
        <w:rPr>
          <w:rFonts w:hint="eastAsia"/>
        </w:rPr>
        <w:t>硬盘存储：</w:t>
      </w:r>
      <w:r>
        <w:t>300G</w:t>
      </w:r>
    </w:p>
    <w:p>
      <w:pPr>
        <w:spacing w:before="78" w:after="78"/>
        <w:ind w:firstLine="482"/>
        <w:rPr>
          <w:b/>
        </w:rPr>
      </w:pPr>
      <w:r>
        <w:rPr>
          <w:rFonts w:hint="eastAsia"/>
          <w:b/>
        </w:rPr>
        <w:t>数据库</w:t>
      </w:r>
      <w:r>
        <w:rPr>
          <w:b/>
        </w:rPr>
        <w:t>服务器</w:t>
      </w:r>
      <w:r>
        <w:rPr>
          <w:rFonts w:hint="eastAsia"/>
          <w:b/>
        </w:rPr>
        <w:t>（2台，负载均衡部署）：</w:t>
      </w:r>
    </w:p>
    <w:p>
      <w:pPr>
        <w:spacing w:before="78" w:after="78"/>
        <w:ind w:firstLine="480"/>
      </w:pPr>
      <w:r>
        <w:t>产品类别：</w:t>
      </w:r>
      <w:r>
        <w:rPr>
          <w:rFonts w:hint="eastAsia"/>
        </w:rPr>
        <w:t>云服务</w:t>
      </w:r>
    </w:p>
    <w:p>
      <w:pPr>
        <w:spacing w:before="78" w:after="78"/>
        <w:ind w:firstLine="480"/>
      </w:pPr>
      <w:r>
        <w:t>CPU型号：</w:t>
      </w:r>
      <w:r>
        <w:rPr>
          <w:rFonts w:hint="eastAsia"/>
        </w:rPr>
        <w:t>Xeon E5-2650V3，2.3GHz/2133MHz/25MB及以上</w:t>
      </w:r>
    </w:p>
    <w:p>
      <w:pPr>
        <w:spacing w:before="78" w:after="78"/>
        <w:ind w:firstLine="480"/>
      </w:pPr>
      <w:r>
        <w:t>标配CPU</w:t>
      </w:r>
      <w:r>
        <w:rPr>
          <w:rFonts w:hint="eastAsia"/>
        </w:rPr>
        <w:t>核</w:t>
      </w:r>
      <w:r>
        <w:t>数量：</w:t>
      </w:r>
      <w:r>
        <w:rPr>
          <w:rFonts w:hint="eastAsia"/>
        </w:rPr>
        <w:t>8核</w:t>
      </w:r>
    </w:p>
    <w:p>
      <w:pPr>
        <w:spacing w:before="78" w:after="78"/>
        <w:ind w:firstLine="480"/>
      </w:pPr>
      <w:r>
        <w:t>内存容量：16GB</w:t>
      </w:r>
    </w:p>
    <w:p>
      <w:pPr>
        <w:spacing w:before="78" w:after="78"/>
        <w:ind w:firstLine="480"/>
      </w:pPr>
      <w:r>
        <w:rPr>
          <w:rFonts w:hint="eastAsia"/>
        </w:rPr>
        <w:t>硬盘存储：</w:t>
      </w:r>
      <w:r>
        <w:t>600G</w:t>
      </w:r>
    </w:p>
    <w:p>
      <w:pPr>
        <w:spacing w:before="78" w:after="78"/>
        <w:ind w:firstLine="482"/>
        <w:rPr>
          <w:b/>
        </w:rPr>
      </w:pPr>
      <w:r>
        <w:rPr>
          <w:rFonts w:hint="eastAsia"/>
          <w:b/>
        </w:rPr>
        <w:t>视频能力</w:t>
      </w:r>
      <w:r>
        <w:rPr>
          <w:b/>
        </w:rPr>
        <w:t>服务器</w:t>
      </w:r>
      <w:r>
        <w:rPr>
          <w:rFonts w:hint="eastAsia"/>
          <w:b/>
        </w:rPr>
        <w:t>（</w:t>
      </w:r>
      <w:r>
        <w:rPr>
          <w:b/>
        </w:rPr>
        <w:t>2</w:t>
      </w:r>
      <w:r>
        <w:rPr>
          <w:rFonts w:hint="eastAsia"/>
          <w:b/>
        </w:rPr>
        <w:t>台，负载均衡部署）：</w:t>
      </w:r>
    </w:p>
    <w:p>
      <w:pPr>
        <w:spacing w:before="78" w:after="78"/>
        <w:ind w:firstLine="480"/>
      </w:pPr>
      <w:r>
        <w:t>产品类别：</w:t>
      </w:r>
      <w:r>
        <w:rPr>
          <w:rFonts w:hint="eastAsia"/>
        </w:rPr>
        <w:t>云服务</w:t>
      </w:r>
    </w:p>
    <w:p>
      <w:pPr>
        <w:spacing w:before="78" w:after="78"/>
        <w:ind w:firstLine="480"/>
      </w:pPr>
      <w:r>
        <w:t>CPU型号：</w:t>
      </w:r>
      <w:r>
        <w:rPr>
          <w:rFonts w:hint="eastAsia"/>
        </w:rPr>
        <w:t>Xeon E5-2650V3，2.3GHz/2133MHz/25MB及以上</w:t>
      </w:r>
    </w:p>
    <w:p>
      <w:pPr>
        <w:spacing w:before="78" w:after="78"/>
        <w:ind w:firstLine="480"/>
      </w:pPr>
      <w:r>
        <w:t>标配CPU</w:t>
      </w:r>
      <w:r>
        <w:rPr>
          <w:rFonts w:hint="eastAsia"/>
        </w:rPr>
        <w:t>核</w:t>
      </w:r>
      <w:r>
        <w:t>数量：8</w:t>
      </w:r>
      <w:r>
        <w:rPr>
          <w:rFonts w:hint="eastAsia"/>
        </w:rPr>
        <w:t>核</w:t>
      </w:r>
    </w:p>
    <w:p>
      <w:pPr>
        <w:spacing w:before="78" w:after="78"/>
        <w:ind w:firstLine="480"/>
      </w:pPr>
      <w:r>
        <w:t>内存容量：32GB</w:t>
      </w:r>
    </w:p>
    <w:p>
      <w:pPr>
        <w:spacing w:before="78" w:after="78"/>
        <w:ind w:firstLine="480"/>
      </w:pPr>
      <w:r>
        <w:rPr>
          <w:rFonts w:hint="eastAsia"/>
        </w:rPr>
        <w:t>硬盘存储：</w:t>
      </w:r>
      <w:r>
        <w:t>2T</w:t>
      </w:r>
    </w:p>
    <w:p>
      <w:pPr>
        <w:pStyle w:val="5"/>
        <w:tabs>
          <w:tab w:val="left" w:pos="1080"/>
        </w:tabs>
        <w:spacing w:line="360" w:lineRule="auto"/>
        <w:ind w:left="0"/>
        <w:rPr>
          <w:rFonts w:ascii="Times New Roman"/>
          <w:lang w:val="zh-CN"/>
        </w:rPr>
      </w:pPr>
      <w:r>
        <w:rPr>
          <w:rFonts w:hint="eastAsia" w:ascii="Times New Roman"/>
          <w:lang w:val="zh-CN"/>
        </w:rPr>
        <w:t>本地服务</w:t>
      </w:r>
    </w:p>
    <w:p>
      <w:pPr>
        <w:spacing w:beforeLines="0" w:afterLines="0"/>
        <w:ind w:firstLine="482"/>
        <w:rPr>
          <w:b/>
        </w:rPr>
      </w:pPr>
      <w:r>
        <w:rPr>
          <w:rFonts w:hint="eastAsia"/>
          <w:b/>
        </w:rPr>
        <w:t>服务器</w:t>
      </w:r>
      <w:r>
        <w:rPr>
          <w:b/>
        </w:rPr>
        <w:t>1</w:t>
      </w:r>
      <w:r>
        <w:rPr>
          <w:rFonts w:hint="eastAsia"/>
          <w:b/>
        </w:rPr>
        <w:t>台，8口防火墙1台，提供语音通信服务及数据存储备份用。</w:t>
      </w:r>
    </w:p>
    <w:p>
      <w:pPr>
        <w:spacing w:beforeLines="0" w:afterLines="0"/>
        <w:ind w:firstLine="482"/>
      </w:pPr>
      <w:r>
        <w:rPr>
          <w:rFonts w:hint="eastAsia"/>
          <w:b/>
        </w:rPr>
        <w:t>服务器配置：</w:t>
      </w:r>
      <w:r>
        <w:rPr>
          <w:rFonts w:hint="eastAsia"/>
        </w:rPr>
        <w:t>国产服务器主机 2U机架式服务器，双颗铜牌3204 12核 1.9GHz， 双电，32G内存，4块4TB SAS硬盘，H460卡。</w:t>
      </w:r>
    </w:p>
    <w:p>
      <w:pPr>
        <w:spacing w:beforeLines="0" w:afterLines="0"/>
        <w:ind w:firstLine="482"/>
      </w:pPr>
      <w:r>
        <w:rPr>
          <w:rFonts w:hint="eastAsia"/>
          <w:b/>
        </w:rPr>
        <w:t>防火墙配置：</w:t>
      </w:r>
      <w:r>
        <w:rPr>
          <w:rFonts w:hint="eastAsia"/>
        </w:rPr>
        <w:t>8电口+2光全千兆多业务企业级网络安全管理防火墙，带机600，吞吐3G，免费100条SSL VPN。</w:t>
      </w:r>
    </w:p>
    <w:p>
      <w:pPr>
        <w:spacing w:beforeLines="0" w:afterLines="0"/>
        <w:ind w:firstLine="480"/>
      </w:pPr>
    </w:p>
    <w:p>
      <w:pPr>
        <w:pStyle w:val="4"/>
        <w:tabs>
          <w:tab w:val="left" w:pos="1080"/>
        </w:tabs>
        <w:spacing w:beforeLines="0" w:afterLines="0" w:line="360" w:lineRule="auto"/>
        <w:ind w:left="0"/>
      </w:pPr>
      <w:bookmarkStart w:id="27" w:name="_Toc492650540"/>
      <w:bookmarkStart w:id="28" w:name="_Toc117833366"/>
      <w:r>
        <w:rPr>
          <w:rFonts w:hint="eastAsia"/>
        </w:rPr>
        <w:t>软件建设内容</w:t>
      </w:r>
      <w:bookmarkEnd w:id="27"/>
      <w:bookmarkEnd w:id="28"/>
    </w:p>
    <w:p>
      <w:pPr>
        <w:pStyle w:val="5"/>
        <w:tabs>
          <w:tab w:val="left" w:pos="1080"/>
        </w:tabs>
        <w:spacing w:line="360" w:lineRule="auto"/>
        <w:ind w:left="0"/>
        <w:rPr>
          <w:rFonts w:ascii="Times New Roman"/>
          <w:lang w:val="zh-CN"/>
        </w:rPr>
      </w:pPr>
      <w:bookmarkStart w:id="29" w:name="_Toc491636685"/>
      <w:r>
        <w:rPr>
          <w:rFonts w:hint="eastAsia" w:ascii="Times New Roman"/>
          <w:lang w:val="zh-CN"/>
        </w:rPr>
        <w:t>操作系统</w:t>
      </w:r>
      <w:bookmarkEnd w:id="29"/>
    </w:p>
    <w:p>
      <w:pPr>
        <w:autoSpaceDE w:val="0"/>
        <w:autoSpaceDN w:val="0"/>
        <w:adjustRightInd w:val="0"/>
        <w:spacing w:before="78" w:after="78"/>
        <w:ind w:firstLine="480"/>
        <w:jc w:val="left"/>
        <w:rPr>
          <w:rFonts w:cs="宋体"/>
        </w:rPr>
      </w:pPr>
      <w:r>
        <w:rPr>
          <w:rFonts w:hint="eastAsia" w:cs="宋体"/>
        </w:rPr>
        <w:t>Linux系统。</w:t>
      </w:r>
    </w:p>
    <w:p>
      <w:pPr>
        <w:pStyle w:val="5"/>
        <w:tabs>
          <w:tab w:val="left" w:pos="1080"/>
        </w:tabs>
        <w:spacing w:line="360" w:lineRule="auto"/>
        <w:ind w:left="0"/>
        <w:rPr>
          <w:rFonts w:ascii="Times New Roman"/>
          <w:lang w:val="zh-CN"/>
        </w:rPr>
      </w:pPr>
      <w:bookmarkStart w:id="30" w:name="_Toc491636686"/>
      <w:r>
        <w:rPr>
          <w:rFonts w:hint="eastAsia" w:ascii="Times New Roman"/>
          <w:lang w:val="zh-CN"/>
        </w:rPr>
        <w:t>数据库软件</w:t>
      </w:r>
      <w:bookmarkEnd w:id="30"/>
    </w:p>
    <w:p>
      <w:pPr>
        <w:autoSpaceDE w:val="0"/>
        <w:autoSpaceDN w:val="0"/>
        <w:adjustRightInd w:val="0"/>
        <w:spacing w:before="78" w:after="78"/>
        <w:ind w:firstLine="480"/>
        <w:jc w:val="left"/>
        <w:rPr>
          <w:rFonts w:cs="宋体"/>
        </w:rPr>
      </w:pPr>
      <w:r>
        <w:rPr>
          <w:rFonts w:hint="eastAsia" w:cs="宋体"/>
        </w:rPr>
        <w:t>MYSQL。</w:t>
      </w:r>
    </w:p>
    <w:p>
      <w:pPr>
        <w:pStyle w:val="3"/>
        <w:spacing w:before="78" w:after="78" w:line="360" w:lineRule="auto"/>
        <w:rPr>
          <w:rFonts w:ascii="Times New Roman" w:hAnsi="Times New Roman"/>
        </w:rPr>
      </w:pPr>
      <w:bookmarkStart w:id="37" w:name="_GoBack"/>
      <w:bookmarkEnd w:id="37"/>
      <w:bookmarkStart w:id="31" w:name="_Toc117833367"/>
      <w:bookmarkStart w:id="32" w:name="_Toc294729746"/>
      <w:bookmarkStart w:id="33" w:name="_Toc293868115"/>
      <w:bookmarkStart w:id="34" w:name="_Toc274526107"/>
      <w:r>
        <w:rPr>
          <w:rFonts w:hint="eastAsia" w:ascii="Times New Roman" w:hAnsi="Times New Roman"/>
        </w:rPr>
        <w:t>服务、运维及运营内容</w:t>
      </w:r>
      <w:bookmarkEnd w:id="31"/>
    </w:p>
    <w:p>
      <w:pPr>
        <w:spacing w:before="78" w:after="78"/>
        <w:ind w:firstLine="480"/>
      </w:pPr>
      <w:r>
        <w:rPr>
          <w:rFonts w:hint="eastAsia"/>
        </w:rPr>
        <w:t>建设提供3年免费服务。</w:t>
      </w:r>
    </w:p>
    <w:p>
      <w:pPr>
        <w:spacing w:before="78" w:after="78"/>
        <w:ind w:firstLine="439" w:firstLineChars="183"/>
      </w:pPr>
      <w:r>
        <w:rPr>
          <w:rFonts w:hint="eastAsia"/>
        </w:rPr>
        <w:t>服务内容，7</w:t>
      </w:r>
      <w:r>
        <w:t>*24</w:t>
      </w:r>
      <w:r>
        <w:rPr>
          <w:rFonts w:hint="eastAsia"/>
        </w:rPr>
        <w:t>小时远程服务，系统故障1小时内不能解决，</w:t>
      </w:r>
      <w:r>
        <w:t>2</w:t>
      </w:r>
      <w:r>
        <w:rPr>
          <w:rFonts w:hint="eastAsia"/>
        </w:rPr>
        <w:t>小时内派工程师到现场解决。每月1次现场系统巡检并提交系统巡查报告。</w:t>
      </w:r>
    </w:p>
    <w:p>
      <w:pPr>
        <w:spacing w:before="78" w:after="78"/>
        <w:ind w:firstLine="480"/>
      </w:pPr>
      <w:r>
        <w:rPr>
          <w:rFonts w:hint="eastAsia"/>
        </w:rPr>
        <w:t>（1）日常服务维护</w:t>
      </w:r>
    </w:p>
    <w:p>
      <w:pPr>
        <w:spacing w:before="78" w:after="78"/>
        <w:ind w:firstLine="480"/>
      </w:pPr>
      <w:r>
        <w:rPr>
          <w:rFonts w:hint="eastAsia"/>
        </w:rPr>
        <w:t>服务标准：</w:t>
      </w:r>
    </w:p>
    <w:p>
      <w:pPr>
        <w:spacing w:before="78" w:after="78"/>
        <w:ind w:firstLine="480"/>
      </w:pPr>
      <w:r>
        <w:rPr>
          <w:rFonts w:hint="eastAsia"/>
        </w:rPr>
        <w:t>日常服务期间，每5个工作日进行一次服务数据备份；</w:t>
      </w:r>
    </w:p>
    <w:p>
      <w:pPr>
        <w:spacing w:before="78" w:after="78"/>
        <w:ind w:firstLine="480"/>
      </w:pPr>
      <w:r>
        <w:rPr>
          <w:rFonts w:hint="eastAsia"/>
        </w:rPr>
        <w:t>自查隐患上报期间，进行数据备份。</w:t>
      </w:r>
    </w:p>
    <w:p>
      <w:pPr>
        <w:spacing w:before="78" w:after="78"/>
        <w:ind w:firstLine="480"/>
      </w:pPr>
      <w:r>
        <w:rPr>
          <w:rFonts w:hint="eastAsia"/>
        </w:rPr>
        <w:t>（</w:t>
      </w:r>
      <w:r>
        <w:t>2</w:t>
      </w:r>
      <w:r>
        <w:rPr>
          <w:rFonts w:hint="eastAsia"/>
        </w:rPr>
        <w:t>）服务平台安全保障</w:t>
      </w:r>
    </w:p>
    <w:p>
      <w:pPr>
        <w:spacing w:before="78" w:after="78"/>
        <w:ind w:firstLine="480"/>
      </w:pPr>
      <w:r>
        <w:rPr>
          <w:rFonts w:hint="eastAsia"/>
        </w:rPr>
        <w:t>服务标准：</w:t>
      </w:r>
    </w:p>
    <w:p>
      <w:pPr>
        <w:spacing w:before="78" w:after="78"/>
        <w:ind w:firstLine="480"/>
      </w:pPr>
      <w:r>
        <w:rPr>
          <w:rFonts w:hint="eastAsia"/>
        </w:rPr>
        <w:t>日常服务期间，每周安全报告；</w:t>
      </w:r>
    </w:p>
    <w:p>
      <w:pPr>
        <w:spacing w:before="78" w:after="78"/>
        <w:ind w:firstLine="480"/>
      </w:pPr>
      <w:r>
        <w:rPr>
          <w:rFonts w:hint="eastAsia"/>
        </w:rPr>
        <w:t>日常服务期间，周期安全加固；</w:t>
      </w:r>
    </w:p>
    <w:p>
      <w:pPr>
        <w:spacing w:before="78" w:after="78"/>
        <w:ind w:firstLine="480"/>
      </w:pPr>
      <w:r>
        <w:rPr>
          <w:rFonts w:hint="eastAsia"/>
        </w:rPr>
        <w:t>日常服务期间，定期安全巡检；</w:t>
      </w:r>
    </w:p>
    <w:p>
      <w:pPr>
        <w:spacing w:before="78" w:after="78"/>
        <w:ind w:firstLine="480"/>
      </w:pPr>
      <w:r>
        <w:rPr>
          <w:rFonts w:hint="eastAsia"/>
        </w:rPr>
        <w:t>日常服务期间，定期安全通告；</w:t>
      </w:r>
    </w:p>
    <w:p>
      <w:pPr>
        <w:spacing w:before="78" w:after="78"/>
        <w:ind w:firstLine="480"/>
      </w:pPr>
      <w:r>
        <w:rPr>
          <w:rFonts w:hint="eastAsia"/>
        </w:rPr>
        <w:t>安全自查期间，提供安全自查报告。</w:t>
      </w:r>
    </w:p>
    <w:p>
      <w:pPr>
        <w:spacing w:before="78" w:after="78"/>
        <w:ind w:firstLine="480"/>
      </w:pPr>
      <w:r>
        <w:rPr>
          <w:rFonts w:hint="eastAsia"/>
        </w:rPr>
        <w:t>（</w:t>
      </w:r>
      <w:r>
        <w:t>3</w:t>
      </w:r>
      <w:r>
        <w:rPr>
          <w:rFonts w:hint="eastAsia"/>
        </w:rPr>
        <w:t>）紧急事件处理</w:t>
      </w:r>
    </w:p>
    <w:p>
      <w:pPr>
        <w:spacing w:before="78" w:after="78"/>
        <w:ind w:firstLine="480"/>
      </w:pPr>
      <w:r>
        <w:rPr>
          <w:rFonts w:hint="eastAsia"/>
        </w:rPr>
        <w:t>因外力（如大规模网络攻击、通讯链路中断）导致服务异常或中断的，业主应第一时间通知服务提供方，采取紧急措施，切断不稳定因素，进行事件检测、分析、抑制及消除，直至服务恢复正常，并提供书面报告。</w:t>
      </w:r>
    </w:p>
    <w:p>
      <w:pPr>
        <w:spacing w:before="78" w:after="78"/>
        <w:ind w:firstLine="480"/>
      </w:pPr>
      <w:r>
        <w:rPr>
          <w:rFonts w:hint="eastAsia"/>
        </w:rPr>
        <w:t>（</w:t>
      </w:r>
      <w:r>
        <w:t>4</w:t>
      </w:r>
      <w:r>
        <w:rPr>
          <w:rFonts w:hint="eastAsia"/>
        </w:rPr>
        <w:t>）服务功能调整升级</w:t>
      </w:r>
    </w:p>
    <w:p>
      <w:pPr>
        <w:spacing w:before="78" w:after="78"/>
        <w:ind w:firstLine="480"/>
      </w:pPr>
      <w:r>
        <w:rPr>
          <w:rFonts w:hint="eastAsia"/>
        </w:rPr>
        <w:t>在服务提供一段时间后，如果甲方提出新的合理化建议，在双方讨论并达成共识的基础上，可免费进行服务功能的改进和升级。若涉及新服务功能的设计和实施，经双方达成共识，可额外增加费用。</w:t>
      </w:r>
    </w:p>
    <w:bookmarkEnd w:id="32"/>
    <w:bookmarkEnd w:id="33"/>
    <w:bookmarkEnd w:id="34"/>
    <w:p>
      <w:pPr>
        <w:spacing w:before="78" w:after="78"/>
        <w:ind w:firstLine="480"/>
      </w:pPr>
      <w:bookmarkStart w:id="35" w:name="_Toc294729747"/>
      <w:bookmarkStart w:id="36" w:name="_Toc492650555"/>
      <w:r>
        <w:rPr>
          <w:rFonts w:hint="eastAsia"/>
        </w:rPr>
        <w:t>（</w:t>
      </w:r>
      <w:r>
        <w:t>5</w:t>
      </w:r>
      <w:r>
        <w:rPr>
          <w:rFonts w:hint="eastAsia"/>
        </w:rPr>
        <w:t>）智慧信访大数据系统运营期间，系统需要发送短信和电话外呼，产生短信和电话通话的通信费。总预算包含三年内每月封顶发送1</w:t>
      </w:r>
      <w:r>
        <w:t>0000</w:t>
      </w:r>
      <w:r>
        <w:rPr>
          <w:rFonts w:hint="eastAsia"/>
        </w:rPr>
        <w:t>条短信，5</w:t>
      </w:r>
      <w:r>
        <w:t>000</w:t>
      </w:r>
      <w:r>
        <w:rPr>
          <w:rFonts w:hint="eastAsia"/>
        </w:rPr>
        <w:t>分钟外呼通话，超出该数量后由信访局办公经费支付。</w:t>
      </w:r>
      <w:bookmarkEnd w:id="7"/>
      <w:bookmarkEnd w:id="35"/>
      <w:bookmarkEnd w:id="36"/>
    </w:p>
    <w:sectPr>
      <w:footerReference r:id="rId11" w:type="default"/>
      <w:pgSz w:w="11906" w:h="16838"/>
      <w:pgMar w:top="1440" w:right="1800" w:bottom="1440" w:left="170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等线">
    <w:altName w:val="方正仿宋简体"/>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0000019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 w:name="Bitstream Charte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909249"/>
      <w:docPartObj>
        <w:docPartGallery w:val="autotext"/>
      </w:docPartObj>
    </w:sdtPr>
    <w:sdtContent>
      <w:p>
        <w:pPr>
          <w:pStyle w:val="23"/>
          <w:spacing w:before="60" w:after="60"/>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0" w:after="6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0" w:after="6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0" w:after="60"/>
      <w:ind w:firstLine="482"/>
      <w:jc w:val="center"/>
    </w:pPr>
    <w:r>
      <w:rPr>
        <w:b/>
        <w:sz w:val="24"/>
        <w:szCs w:val="24"/>
      </w:rPr>
      <w:fldChar w:fldCharType="begin"/>
    </w:r>
    <w:r>
      <w:rPr>
        <w:b/>
      </w:rPr>
      <w:instrText xml:space="preserve">PAGE</w:instrText>
    </w:r>
    <w:r>
      <w:rPr>
        <w:b/>
        <w:sz w:val="24"/>
        <w:szCs w:val="24"/>
      </w:rPr>
      <w:fldChar w:fldCharType="separate"/>
    </w:r>
    <w:r>
      <w:rPr>
        <w:b/>
      </w:rPr>
      <w:t>76</w:t>
    </w:r>
    <w:r>
      <w:rPr>
        <w:b/>
        <w:sz w:val="24"/>
        <w:szCs w:val="24"/>
      </w:rPr>
      <w:fldChar w:fldCharType="end"/>
    </w:r>
    <w:r>
      <w:rPr>
        <w:lang w:val="zh-CN"/>
      </w:rPr>
      <w:t xml:space="preserve"> / </w:t>
    </w:r>
    <w:r>
      <w:fldChar w:fldCharType="begin"/>
    </w:r>
    <w:r>
      <w:instrText xml:space="preserve"> SECTIONPAGES   \* MERGEFORMAT </w:instrText>
    </w:r>
    <w:r>
      <w:fldChar w:fldCharType="separate"/>
    </w:r>
    <w:r>
      <w:rPr>
        <w:b/>
      </w:rPr>
      <w:t>30</w:t>
    </w:r>
    <w:r>
      <w:rPr>
        <w:b/>
      </w:rPr>
      <w:fldChar w:fldCharType="end"/>
    </w:r>
    <w:r>
      <w:rPr>
        <w:b/>
      </w:rPr>
      <w:fldChar w:fldCharType="begin"/>
    </w:r>
    <w:r>
      <w:rPr>
        <w:b/>
      </w:rPr>
      <w:instrText xml:space="preserve"> NUMPAGES-2 \* MERGEFORMAT </w:instrTex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spacing w:before="60" w:after="60"/>
      <w:ind w:firstLine="420"/>
      <w:rPr>
        <w:sz w:val="21"/>
        <w:szCs w:val="21"/>
      </w:rPr>
    </w:pPr>
    <w:r>
      <w:rPr>
        <w:rFonts w:hint="eastAsia"/>
        <w:sz w:val="21"/>
        <w:szCs w:val="21"/>
      </w:rPr>
      <w:t>达州市智慧信访大数据系统建设需求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60" w:after="6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60" w:after="6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453C1"/>
    <w:multiLevelType w:val="multilevel"/>
    <w:tmpl w:val="026453C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E700BF5"/>
    <w:multiLevelType w:val="multilevel"/>
    <w:tmpl w:val="0E700BF5"/>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0F1543DF"/>
    <w:multiLevelType w:val="multilevel"/>
    <w:tmpl w:val="0F1543DF"/>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
    <w:nsid w:val="0F3D514F"/>
    <w:multiLevelType w:val="multilevel"/>
    <w:tmpl w:val="0F3D514F"/>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13B94A71"/>
    <w:multiLevelType w:val="multilevel"/>
    <w:tmpl w:val="13B94A71"/>
    <w:lvl w:ilvl="0" w:tentative="0">
      <w:start w:val="1"/>
      <w:numFmt w:val="bullet"/>
      <w:pStyle w:val="4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19D71369"/>
    <w:multiLevelType w:val="multilevel"/>
    <w:tmpl w:val="19D713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9FB5CA1"/>
    <w:multiLevelType w:val="multilevel"/>
    <w:tmpl w:val="19FB5CA1"/>
    <w:lvl w:ilvl="0" w:tentative="0">
      <w:start w:val="1"/>
      <w:numFmt w:val="decimal"/>
      <w:lvlText w:val="表格%1："/>
      <w:lvlJc w:val="left"/>
      <w:pPr>
        <w:ind w:left="420" w:hanging="420"/>
      </w:pPr>
      <w:rPr>
        <w:rFonts w:hint="eastAsia"/>
        <w:position w:val="0"/>
      </w:rPr>
    </w:lvl>
    <w:lvl w:ilvl="1" w:tentative="0">
      <w:start w:val="1"/>
      <w:numFmt w:val="lowerLetter"/>
      <w:pStyle w:val="12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E28149E"/>
    <w:multiLevelType w:val="multilevel"/>
    <w:tmpl w:val="1E28149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4370DE8"/>
    <w:multiLevelType w:val="multilevel"/>
    <w:tmpl w:val="24370DE8"/>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9">
    <w:nsid w:val="26AD0570"/>
    <w:multiLevelType w:val="multilevel"/>
    <w:tmpl w:val="26AD057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2B2C689B"/>
    <w:multiLevelType w:val="multilevel"/>
    <w:tmpl w:val="2B2C689B"/>
    <w:lvl w:ilvl="0" w:tentative="0">
      <w:start w:val="1"/>
      <w:numFmt w:val="decimal"/>
      <w:pStyle w:val="93"/>
      <w:lvlText w:val="[%1]."/>
      <w:lvlJc w:val="left"/>
      <w:pPr>
        <w:tabs>
          <w:tab w:val="left" w:pos="567"/>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2B0411"/>
    <w:multiLevelType w:val="multilevel"/>
    <w:tmpl w:val="402B0411"/>
    <w:lvl w:ilvl="0" w:tentative="0">
      <w:start w:val="1"/>
      <w:numFmt w:val="chineseCountingThousand"/>
      <w:pStyle w:val="2"/>
      <w:suff w:val="nothing"/>
      <w:lvlText w:val="第%1章"/>
      <w:lvlJc w:val="left"/>
      <w:pPr>
        <w:ind w:left="2410" w:firstLine="0"/>
      </w:pPr>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pStyle w:val="3"/>
      <w:suff w:val="nothing"/>
      <w:lvlText w:val="%2."/>
      <w:lvlJc w:val="left"/>
      <w:pPr>
        <w:ind w:left="0" w:firstLine="0"/>
      </w:pPr>
      <w:rPr>
        <w:rFonts w:hint="eastAsia"/>
      </w:rPr>
    </w:lvl>
    <w:lvl w:ilvl="2" w:tentative="0">
      <w:start w:val="1"/>
      <w:numFmt w:val="decimal"/>
      <w:pStyle w:val="4"/>
      <w:suff w:val="nothing"/>
      <w:lvlText w:val="%2.%3."/>
      <w:lvlJc w:val="left"/>
      <w:pPr>
        <w:ind w:left="852" w:firstLine="0"/>
      </w:pPr>
      <w:rPr>
        <w:rFonts w:hint="eastAsia"/>
      </w:rPr>
    </w:lvl>
    <w:lvl w:ilvl="3" w:tentative="0">
      <w:start w:val="1"/>
      <w:numFmt w:val="decimal"/>
      <w:pStyle w:val="5"/>
      <w:suff w:val="nothing"/>
      <w:lvlText w:val="%2.%3.%4"/>
      <w:lvlJc w:val="left"/>
      <w:pPr>
        <w:ind w:left="2553" w:firstLine="0"/>
      </w:pPr>
      <w:rPr>
        <w:rFonts w:hint="eastAsia"/>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nothing"/>
      <w:lvlText w:val="%2.%3.3.%5"/>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5" w:tentative="0">
      <w:start w:val="1"/>
      <w:numFmt w:val="decimal"/>
      <w:suff w:val="nothing"/>
      <w:lvlText w:val="%2.%3.%4.%5.%6"/>
      <w:lvlJc w:val="left"/>
      <w:pPr>
        <w:ind w:left="1702"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2">
    <w:nsid w:val="48454395"/>
    <w:multiLevelType w:val="multilevel"/>
    <w:tmpl w:val="48454395"/>
    <w:lvl w:ilvl="0" w:tentative="0">
      <w:start w:val="1"/>
      <w:numFmt w:val="bullet"/>
      <w:pStyle w:val="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A751D75"/>
    <w:multiLevelType w:val="multilevel"/>
    <w:tmpl w:val="4A751D75"/>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pStyle w:val="91"/>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4B4611A7"/>
    <w:multiLevelType w:val="multilevel"/>
    <w:tmpl w:val="4B4611A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4BB35114"/>
    <w:multiLevelType w:val="multilevel"/>
    <w:tmpl w:val="4BB3511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50AF0DF1"/>
    <w:multiLevelType w:val="multilevel"/>
    <w:tmpl w:val="50AF0DF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58910338"/>
    <w:multiLevelType w:val="multilevel"/>
    <w:tmpl w:val="5891033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693C7946"/>
    <w:multiLevelType w:val="multilevel"/>
    <w:tmpl w:val="693C7946"/>
    <w:lvl w:ilvl="0" w:tentative="0">
      <w:start w:val="1"/>
      <w:numFmt w:val="decimal"/>
      <w:lvlText w:val="（%1）"/>
      <w:lvlJc w:val="left"/>
      <w:pPr>
        <w:tabs>
          <w:tab w:val="left" w:pos="1200"/>
        </w:tabs>
        <w:ind w:left="1200" w:hanging="720"/>
      </w:pPr>
      <w:rPr>
        <w:rFonts w:hint="default"/>
      </w:rPr>
    </w:lvl>
    <w:lvl w:ilvl="1" w:tentative="0">
      <w:start w:val="19"/>
      <w:numFmt w:val="decimal"/>
      <w:pStyle w:val="151"/>
      <w:lvlText w:val="%2."/>
      <w:lvlJc w:val="left"/>
      <w:pPr>
        <w:tabs>
          <w:tab w:val="left" w:pos="360"/>
        </w:tabs>
        <w:ind w:left="36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AF34429"/>
    <w:multiLevelType w:val="multilevel"/>
    <w:tmpl w:val="6AF3442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6BCB1983"/>
    <w:multiLevelType w:val="multilevel"/>
    <w:tmpl w:val="6BCB1983"/>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1">
    <w:nsid w:val="6D616FD2"/>
    <w:multiLevelType w:val="multilevel"/>
    <w:tmpl w:val="6D616FD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70332788"/>
    <w:multiLevelType w:val="multilevel"/>
    <w:tmpl w:val="70332788"/>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7BDC0506"/>
    <w:multiLevelType w:val="multilevel"/>
    <w:tmpl w:val="7BDC050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1"/>
  </w:num>
  <w:num w:numId="2">
    <w:abstractNumId w:val="12"/>
  </w:num>
  <w:num w:numId="3">
    <w:abstractNumId w:val="4"/>
  </w:num>
  <w:num w:numId="4">
    <w:abstractNumId w:val="13"/>
  </w:num>
  <w:num w:numId="5">
    <w:abstractNumId w:val="10"/>
  </w:num>
  <w:num w:numId="6">
    <w:abstractNumId w:val="6"/>
  </w:num>
  <w:num w:numId="7">
    <w:abstractNumId w:val="18"/>
  </w:num>
  <w:num w:numId="8">
    <w:abstractNumId w:val="19"/>
  </w:num>
  <w:num w:numId="9">
    <w:abstractNumId w:val="7"/>
  </w:num>
  <w:num w:numId="10">
    <w:abstractNumId w:val="5"/>
  </w:num>
  <w:num w:numId="11">
    <w:abstractNumId w:val="21"/>
  </w:num>
  <w:num w:numId="12">
    <w:abstractNumId w:val="0"/>
  </w:num>
  <w:num w:numId="13">
    <w:abstractNumId w:val="23"/>
  </w:num>
  <w:num w:numId="14">
    <w:abstractNumId w:val="16"/>
  </w:num>
  <w:num w:numId="15">
    <w:abstractNumId w:val="9"/>
  </w:num>
  <w:num w:numId="16">
    <w:abstractNumId w:val="14"/>
  </w:num>
  <w:num w:numId="17">
    <w:abstractNumId w:val="15"/>
  </w:num>
  <w:num w:numId="18">
    <w:abstractNumId w:val="8"/>
  </w:num>
  <w:num w:numId="19">
    <w:abstractNumId w:val="3"/>
  </w:num>
  <w:num w:numId="20">
    <w:abstractNumId w:val="22"/>
  </w:num>
  <w:num w:numId="21">
    <w:abstractNumId w:val="20"/>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F5"/>
    <w:rsid w:val="00000A50"/>
    <w:rsid w:val="00000A9F"/>
    <w:rsid w:val="00000FE4"/>
    <w:rsid w:val="000011C9"/>
    <w:rsid w:val="000019A1"/>
    <w:rsid w:val="000023E8"/>
    <w:rsid w:val="000027DC"/>
    <w:rsid w:val="00003504"/>
    <w:rsid w:val="00003D51"/>
    <w:rsid w:val="0000424D"/>
    <w:rsid w:val="000045D9"/>
    <w:rsid w:val="0000541C"/>
    <w:rsid w:val="00006114"/>
    <w:rsid w:val="00006539"/>
    <w:rsid w:val="00006902"/>
    <w:rsid w:val="00006E8B"/>
    <w:rsid w:val="000072FC"/>
    <w:rsid w:val="000074CE"/>
    <w:rsid w:val="000074EC"/>
    <w:rsid w:val="0000759B"/>
    <w:rsid w:val="00007601"/>
    <w:rsid w:val="00007E58"/>
    <w:rsid w:val="00007EA0"/>
    <w:rsid w:val="00010BC6"/>
    <w:rsid w:val="00010F4F"/>
    <w:rsid w:val="00011119"/>
    <w:rsid w:val="00011B09"/>
    <w:rsid w:val="000124C0"/>
    <w:rsid w:val="00012E7D"/>
    <w:rsid w:val="00012FA3"/>
    <w:rsid w:val="00015C6F"/>
    <w:rsid w:val="0001608A"/>
    <w:rsid w:val="00017EE5"/>
    <w:rsid w:val="00021034"/>
    <w:rsid w:val="00022196"/>
    <w:rsid w:val="0002319A"/>
    <w:rsid w:val="00024C58"/>
    <w:rsid w:val="00024E65"/>
    <w:rsid w:val="000254D6"/>
    <w:rsid w:val="0002551E"/>
    <w:rsid w:val="000255CA"/>
    <w:rsid w:val="00025736"/>
    <w:rsid w:val="000262D3"/>
    <w:rsid w:val="000267DA"/>
    <w:rsid w:val="00027B8F"/>
    <w:rsid w:val="00030252"/>
    <w:rsid w:val="000304A7"/>
    <w:rsid w:val="000305DA"/>
    <w:rsid w:val="000308A0"/>
    <w:rsid w:val="000310C2"/>
    <w:rsid w:val="00031995"/>
    <w:rsid w:val="00032045"/>
    <w:rsid w:val="00032643"/>
    <w:rsid w:val="0003288F"/>
    <w:rsid w:val="000328D0"/>
    <w:rsid w:val="00032BC4"/>
    <w:rsid w:val="00034B3A"/>
    <w:rsid w:val="0003513C"/>
    <w:rsid w:val="00035A33"/>
    <w:rsid w:val="00035DFD"/>
    <w:rsid w:val="00036CD2"/>
    <w:rsid w:val="000405AB"/>
    <w:rsid w:val="00040817"/>
    <w:rsid w:val="0004165D"/>
    <w:rsid w:val="00041954"/>
    <w:rsid w:val="000445C7"/>
    <w:rsid w:val="00044880"/>
    <w:rsid w:val="0004593D"/>
    <w:rsid w:val="00045E56"/>
    <w:rsid w:val="00046FD9"/>
    <w:rsid w:val="0004769E"/>
    <w:rsid w:val="000502F3"/>
    <w:rsid w:val="00050834"/>
    <w:rsid w:val="00050968"/>
    <w:rsid w:val="000519E3"/>
    <w:rsid w:val="00051F95"/>
    <w:rsid w:val="00052375"/>
    <w:rsid w:val="00053260"/>
    <w:rsid w:val="00053668"/>
    <w:rsid w:val="00053C18"/>
    <w:rsid w:val="000546E4"/>
    <w:rsid w:val="00055190"/>
    <w:rsid w:val="00056329"/>
    <w:rsid w:val="0005645E"/>
    <w:rsid w:val="00056E4C"/>
    <w:rsid w:val="00060F58"/>
    <w:rsid w:val="00061130"/>
    <w:rsid w:val="00061551"/>
    <w:rsid w:val="0006306B"/>
    <w:rsid w:val="000646A1"/>
    <w:rsid w:val="0006480A"/>
    <w:rsid w:val="000650E7"/>
    <w:rsid w:val="00065AD9"/>
    <w:rsid w:val="000661E2"/>
    <w:rsid w:val="00066CDC"/>
    <w:rsid w:val="00066D05"/>
    <w:rsid w:val="00066E71"/>
    <w:rsid w:val="00067519"/>
    <w:rsid w:val="00067A4D"/>
    <w:rsid w:val="00070140"/>
    <w:rsid w:val="0007260A"/>
    <w:rsid w:val="00072B19"/>
    <w:rsid w:val="00072D06"/>
    <w:rsid w:val="000731C8"/>
    <w:rsid w:val="00073216"/>
    <w:rsid w:val="000742CF"/>
    <w:rsid w:val="00074A9C"/>
    <w:rsid w:val="00075CBE"/>
    <w:rsid w:val="0007655B"/>
    <w:rsid w:val="00077518"/>
    <w:rsid w:val="000779AD"/>
    <w:rsid w:val="00080CEC"/>
    <w:rsid w:val="00081631"/>
    <w:rsid w:val="00081BFC"/>
    <w:rsid w:val="00082664"/>
    <w:rsid w:val="00082BD9"/>
    <w:rsid w:val="00082CA4"/>
    <w:rsid w:val="000832FD"/>
    <w:rsid w:val="00083A05"/>
    <w:rsid w:val="000840B8"/>
    <w:rsid w:val="00084906"/>
    <w:rsid w:val="0008499C"/>
    <w:rsid w:val="000853ED"/>
    <w:rsid w:val="00085631"/>
    <w:rsid w:val="00085C0F"/>
    <w:rsid w:val="00086DBD"/>
    <w:rsid w:val="00091A5F"/>
    <w:rsid w:val="00091A99"/>
    <w:rsid w:val="0009402D"/>
    <w:rsid w:val="00094229"/>
    <w:rsid w:val="000948A7"/>
    <w:rsid w:val="00094A66"/>
    <w:rsid w:val="00095117"/>
    <w:rsid w:val="000957C8"/>
    <w:rsid w:val="00096DCB"/>
    <w:rsid w:val="00097739"/>
    <w:rsid w:val="000A037D"/>
    <w:rsid w:val="000A0A11"/>
    <w:rsid w:val="000A11A2"/>
    <w:rsid w:val="000A1F90"/>
    <w:rsid w:val="000A2430"/>
    <w:rsid w:val="000A367F"/>
    <w:rsid w:val="000A462A"/>
    <w:rsid w:val="000A4E27"/>
    <w:rsid w:val="000A6036"/>
    <w:rsid w:val="000A6C51"/>
    <w:rsid w:val="000A6F8D"/>
    <w:rsid w:val="000A7062"/>
    <w:rsid w:val="000A778E"/>
    <w:rsid w:val="000A7836"/>
    <w:rsid w:val="000B12F8"/>
    <w:rsid w:val="000B18C8"/>
    <w:rsid w:val="000B2035"/>
    <w:rsid w:val="000B2632"/>
    <w:rsid w:val="000B29FA"/>
    <w:rsid w:val="000B2A5B"/>
    <w:rsid w:val="000B3741"/>
    <w:rsid w:val="000B401C"/>
    <w:rsid w:val="000B44B0"/>
    <w:rsid w:val="000B59BE"/>
    <w:rsid w:val="000B6965"/>
    <w:rsid w:val="000B6DD0"/>
    <w:rsid w:val="000B7CAB"/>
    <w:rsid w:val="000B7D22"/>
    <w:rsid w:val="000C11C9"/>
    <w:rsid w:val="000C2F6F"/>
    <w:rsid w:val="000C32B4"/>
    <w:rsid w:val="000C405C"/>
    <w:rsid w:val="000C4833"/>
    <w:rsid w:val="000C5EAA"/>
    <w:rsid w:val="000C5F32"/>
    <w:rsid w:val="000C6E82"/>
    <w:rsid w:val="000C7125"/>
    <w:rsid w:val="000C7A02"/>
    <w:rsid w:val="000C7FA0"/>
    <w:rsid w:val="000D08D8"/>
    <w:rsid w:val="000D10EE"/>
    <w:rsid w:val="000D1253"/>
    <w:rsid w:val="000D1B17"/>
    <w:rsid w:val="000D1D34"/>
    <w:rsid w:val="000D32BB"/>
    <w:rsid w:val="000D3470"/>
    <w:rsid w:val="000D3A38"/>
    <w:rsid w:val="000D41DC"/>
    <w:rsid w:val="000D57BE"/>
    <w:rsid w:val="000D5CC5"/>
    <w:rsid w:val="000D60C0"/>
    <w:rsid w:val="000D61F9"/>
    <w:rsid w:val="000D62DE"/>
    <w:rsid w:val="000D638F"/>
    <w:rsid w:val="000D7214"/>
    <w:rsid w:val="000D7378"/>
    <w:rsid w:val="000D78E8"/>
    <w:rsid w:val="000E0672"/>
    <w:rsid w:val="000E1037"/>
    <w:rsid w:val="000E114A"/>
    <w:rsid w:val="000E21CD"/>
    <w:rsid w:val="000E46EB"/>
    <w:rsid w:val="000E4EBE"/>
    <w:rsid w:val="000E5809"/>
    <w:rsid w:val="000E67CE"/>
    <w:rsid w:val="000E7006"/>
    <w:rsid w:val="000F0285"/>
    <w:rsid w:val="000F10C0"/>
    <w:rsid w:val="000F2EAC"/>
    <w:rsid w:val="000F3FD4"/>
    <w:rsid w:val="000F4F92"/>
    <w:rsid w:val="000F737F"/>
    <w:rsid w:val="00100D1E"/>
    <w:rsid w:val="0010108C"/>
    <w:rsid w:val="00101429"/>
    <w:rsid w:val="001018DC"/>
    <w:rsid w:val="001042D5"/>
    <w:rsid w:val="00104C57"/>
    <w:rsid w:val="0010504A"/>
    <w:rsid w:val="0010545A"/>
    <w:rsid w:val="001055D7"/>
    <w:rsid w:val="00105D6C"/>
    <w:rsid w:val="00105DC2"/>
    <w:rsid w:val="001067B5"/>
    <w:rsid w:val="001068A6"/>
    <w:rsid w:val="00106DB6"/>
    <w:rsid w:val="0010715D"/>
    <w:rsid w:val="00107780"/>
    <w:rsid w:val="00107DAB"/>
    <w:rsid w:val="00110011"/>
    <w:rsid w:val="001110C8"/>
    <w:rsid w:val="001115CE"/>
    <w:rsid w:val="00111C62"/>
    <w:rsid w:val="00111E93"/>
    <w:rsid w:val="0011222E"/>
    <w:rsid w:val="00112A99"/>
    <w:rsid w:val="00114454"/>
    <w:rsid w:val="00115867"/>
    <w:rsid w:val="00120712"/>
    <w:rsid w:val="0012166A"/>
    <w:rsid w:val="00122127"/>
    <w:rsid w:val="00122753"/>
    <w:rsid w:val="00122C16"/>
    <w:rsid w:val="00122E1E"/>
    <w:rsid w:val="00124667"/>
    <w:rsid w:val="00124961"/>
    <w:rsid w:val="001258D1"/>
    <w:rsid w:val="00125A85"/>
    <w:rsid w:val="0012645C"/>
    <w:rsid w:val="0012745C"/>
    <w:rsid w:val="001277F4"/>
    <w:rsid w:val="00130671"/>
    <w:rsid w:val="00131955"/>
    <w:rsid w:val="00131956"/>
    <w:rsid w:val="00132646"/>
    <w:rsid w:val="0013411D"/>
    <w:rsid w:val="00134600"/>
    <w:rsid w:val="0013517B"/>
    <w:rsid w:val="00135374"/>
    <w:rsid w:val="001353FA"/>
    <w:rsid w:val="001356C3"/>
    <w:rsid w:val="00135DBE"/>
    <w:rsid w:val="00136701"/>
    <w:rsid w:val="00136AEB"/>
    <w:rsid w:val="00137634"/>
    <w:rsid w:val="00140A1D"/>
    <w:rsid w:val="00140DAA"/>
    <w:rsid w:val="00141E87"/>
    <w:rsid w:val="00141EC3"/>
    <w:rsid w:val="00142E39"/>
    <w:rsid w:val="00142EA5"/>
    <w:rsid w:val="00142F48"/>
    <w:rsid w:val="001431B6"/>
    <w:rsid w:val="00143685"/>
    <w:rsid w:val="00143991"/>
    <w:rsid w:val="00143C6F"/>
    <w:rsid w:val="0014454F"/>
    <w:rsid w:val="00144B03"/>
    <w:rsid w:val="00145618"/>
    <w:rsid w:val="00145E13"/>
    <w:rsid w:val="00146564"/>
    <w:rsid w:val="0014686F"/>
    <w:rsid w:val="00146E74"/>
    <w:rsid w:val="0015111D"/>
    <w:rsid w:val="00151502"/>
    <w:rsid w:val="001518DB"/>
    <w:rsid w:val="0015218E"/>
    <w:rsid w:val="00152E8C"/>
    <w:rsid w:val="00153676"/>
    <w:rsid w:val="0015389E"/>
    <w:rsid w:val="0015546F"/>
    <w:rsid w:val="00155595"/>
    <w:rsid w:val="00155DCA"/>
    <w:rsid w:val="00155F9E"/>
    <w:rsid w:val="001560AC"/>
    <w:rsid w:val="00156179"/>
    <w:rsid w:val="001573B3"/>
    <w:rsid w:val="001614C7"/>
    <w:rsid w:val="00162901"/>
    <w:rsid w:val="001631A0"/>
    <w:rsid w:val="00164556"/>
    <w:rsid w:val="00164C0B"/>
    <w:rsid w:val="00165277"/>
    <w:rsid w:val="00165D6E"/>
    <w:rsid w:val="0016649B"/>
    <w:rsid w:val="00166ACA"/>
    <w:rsid w:val="00166DE7"/>
    <w:rsid w:val="001703E6"/>
    <w:rsid w:val="00171879"/>
    <w:rsid w:val="00171CEF"/>
    <w:rsid w:val="00171EBA"/>
    <w:rsid w:val="00172CBB"/>
    <w:rsid w:val="0017396A"/>
    <w:rsid w:val="001739ED"/>
    <w:rsid w:val="00174D28"/>
    <w:rsid w:val="00175048"/>
    <w:rsid w:val="00175E3B"/>
    <w:rsid w:val="00177AA8"/>
    <w:rsid w:val="0018043F"/>
    <w:rsid w:val="001809E4"/>
    <w:rsid w:val="001811F9"/>
    <w:rsid w:val="00181214"/>
    <w:rsid w:val="0018173A"/>
    <w:rsid w:val="00181C38"/>
    <w:rsid w:val="00182F8B"/>
    <w:rsid w:val="00185701"/>
    <w:rsid w:val="00186AC6"/>
    <w:rsid w:val="00187BBA"/>
    <w:rsid w:val="00187BD9"/>
    <w:rsid w:val="001905FA"/>
    <w:rsid w:val="00190B15"/>
    <w:rsid w:val="00190C79"/>
    <w:rsid w:val="00191278"/>
    <w:rsid w:val="00192D59"/>
    <w:rsid w:val="00192E70"/>
    <w:rsid w:val="001944DB"/>
    <w:rsid w:val="00194730"/>
    <w:rsid w:val="0019521D"/>
    <w:rsid w:val="00195CCB"/>
    <w:rsid w:val="00196453"/>
    <w:rsid w:val="00197809"/>
    <w:rsid w:val="001978B6"/>
    <w:rsid w:val="00197C12"/>
    <w:rsid w:val="00197DA2"/>
    <w:rsid w:val="001A03E1"/>
    <w:rsid w:val="001A0A4D"/>
    <w:rsid w:val="001A0AC3"/>
    <w:rsid w:val="001A3AF5"/>
    <w:rsid w:val="001A407A"/>
    <w:rsid w:val="001A4855"/>
    <w:rsid w:val="001A6151"/>
    <w:rsid w:val="001A64E5"/>
    <w:rsid w:val="001A6A59"/>
    <w:rsid w:val="001A6C7C"/>
    <w:rsid w:val="001A6F4D"/>
    <w:rsid w:val="001B0206"/>
    <w:rsid w:val="001B12BA"/>
    <w:rsid w:val="001B1444"/>
    <w:rsid w:val="001B15FD"/>
    <w:rsid w:val="001B202F"/>
    <w:rsid w:val="001B21C4"/>
    <w:rsid w:val="001B226A"/>
    <w:rsid w:val="001B265E"/>
    <w:rsid w:val="001B2A24"/>
    <w:rsid w:val="001B343C"/>
    <w:rsid w:val="001B436F"/>
    <w:rsid w:val="001B4593"/>
    <w:rsid w:val="001B4C7A"/>
    <w:rsid w:val="001B6154"/>
    <w:rsid w:val="001B68E9"/>
    <w:rsid w:val="001B6C8C"/>
    <w:rsid w:val="001B7059"/>
    <w:rsid w:val="001B71AA"/>
    <w:rsid w:val="001B7847"/>
    <w:rsid w:val="001C0216"/>
    <w:rsid w:val="001C05A2"/>
    <w:rsid w:val="001C277A"/>
    <w:rsid w:val="001C3616"/>
    <w:rsid w:val="001C4282"/>
    <w:rsid w:val="001C4E91"/>
    <w:rsid w:val="001C61D1"/>
    <w:rsid w:val="001C63C8"/>
    <w:rsid w:val="001D0855"/>
    <w:rsid w:val="001D09C2"/>
    <w:rsid w:val="001D0CA9"/>
    <w:rsid w:val="001D1624"/>
    <w:rsid w:val="001D38DB"/>
    <w:rsid w:val="001D4F40"/>
    <w:rsid w:val="001D507B"/>
    <w:rsid w:val="001D5EDC"/>
    <w:rsid w:val="001D6318"/>
    <w:rsid w:val="001D7285"/>
    <w:rsid w:val="001D732D"/>
    <w:rsid w:val="001D7A7E"/>
    <w:rsid w:val="001D7B23"/>
    <w:rsid w:val="001E0109"/>
    <w:rsid w:val="001E0618"/>
    <w:rsid w:val="001E068B"/>
    <w:rsid w:val="001E0877"/>
    <w:rsid w:val="001E1D25"/>
    <w:rsid w:val="001E1E0E"/>
    <w:rsid w:val="001E21B1"/>
    <w:rsid w:val="001E2727"/>
    <w:rsid w:val="001E31F0"/>
    <w:rsid w:val="001E3F5D"/>
    <w:rsid w:val="001E5102"/>
    <w:rsid w:val="001E5AF8"/>
    <w:rsid w:val="001E733F"/>
    <w:rsid w:val="001F01C5"/>
    <w:rsid w:val="001F0213"/>
    <w:rsid w:val="001F1E23"/>
    <w:rsid w:val="001F21B4"/>
    <w:rsid w:val="001F3925"/>
    <w:rsid w:val="001F3C95"/>
    <w:rsid w:val="001F4091"/>
    <w:rsid w:val="001F5E7E"/>
    <w:rsid w:val="001F6515"/>
    <w:rsid w:val="001F6F2C"/>
    <w:rsid w:val="001F6F3C"/>
    <w:rsid w:val="0020033E"/>
    <w:rsid w:val="00201619"/>
    <w:rsid w:val="002017BC"/>
    <w:rsid w:val="00201BA0"/>
    <w:rsid w:val="002026C5"/>
    <w:rsid w:val="00202741"/>
    <w:rsid w:val="00202DD3"/>
    <w:rsid w:val="00203E36"/>
    <w:rsid w:val="002049DB"/>
    <w:rsid w:val="00205AEF"/>
    <w:rsid w:val="00205D7F"/>
    <w:rsid w:val="002077EE"/>
    <w:rsid w:val="00207CC7"/>
    <w:rsid w:val="00207E65"/>
    <w:rsid w:val="0021098E"/>
    <w:rsid w:val="002109E3"/>
    <w:rsid w:val="00211816"/>
    <w:rsid w:val="00211B1F"/>
    <w:rsid w:val="00212DA5"/>
    <w:rsid w:val="0021340A"/>
    <w:rsid w:val="00215B90"/>
    <w:rsid w:val="00215B98"/>
    <w:rsid w:val="00215C35"/>
    <w:rsid w:val="002169B7"/>
    <w:rsid w:val="00216E84"/>
    <w:rsid w:val="00221266"/>
    <w:rsid w:val="00222E41"/>
    <w:rsid w:val="00223206"/>
    <w:rsid w:val="002237AE"/>
    <w:rsid w:val="00224D26"/>
    <w:rsid w:val="0022604F"/>
    <w:rsid w:val="00226696"/>
    <w:rsid w:val="00227C7C"/>
    <w:rsid w:val="002308D2"/>
    <w:rsid w:val="002308EE"/>
    <w:rsid w:val="0023193E"/>
    <w:rsid w:val="00232BEB"/>
    <w:rsid w:val="00232DEA"/>
    <w:rsid w:val="00233BC4"/>
    <w:rsid w:val="00233E9A"/>
    <w:rsid w:val="00234C40"/>
    <w:rsid w:val="00236258"/>
    <w:rsid w:val="0023634E"/>
    <w:rsid w:val="002366A6"/>
    <w:rsid w:val="002369FD"/>
    <w:rsid w:val="00237361"/>
    <w:rsid w:val="002374E2"/>
    <w:rsid w:val="0024056E"/>
    <w:rsid w:val="002410C1"/>
    <w:rsid w:val="0024171D"/>
    <w:rsid w:val="0024354C"/>
    <w:rsid w:val="0024504F"/>
    <w:rsid w:val="00247E5F"/>
    <w:rsid w:val="00250385"/>
    <w:rsid w:val="002509BF"/>
    <w:rsid w:val="00250C4E"/>
    <w:rsid w:val="00251C73"/>
    <w:rsid w:val="0025322E"/>
    <w:rsid w:val="00254270"/>
    <w:rsid w:val="002569DA"/>
    <w:rsid w:val="00257D7A"/>
    <w:rsid w:val="00257F15"/>
    <w:rsid w:val="0026029D"/>
    <w:rsid w:val="002606A8"/>
    <w:rsid w:val="00261140"/>
    <w:rsid w:val="00261926"/>
    <w:rsid w:val="00264469"/>
    <w:rsid w:val="00265D2F"/>
    <w:rsid w:val="00266E31"/>
    <w:rsid w:val="00270AD5"/>
    <w:rsid w:val="00270CAD"/>
    <w:rsid w:val="002718E2"/>
    <w:rsid w:val="00271F57"/>
    <w:rsid w:val="0027323B"/>
    <w:rsid w:val="00273D89"/>
    <w:rsid w:val="00274470"/>
    <w:rsid w:val="002745A4"/>
    <w:rsid w:val="002748FF"/>
    <w:rsid w:val="00275A7A"/>
    <w:rsid w:val="00275F74"/>
    <w:rsid w:val="00276204"/>
    <w:rsid w:val="00276CF5"/>
    <w:rsid w:val="002773D7"/>
    <w:rsid w:val="00277400"/>
    <w:rsid w:val="00277E8E"/>
    <w:rsid w:val="00280361"/>
    <w:rsid w:val="00280465"/>
    <w:rsid w:val="00280944"/>
    <w:rsid w:val="002813EE"/>
    <w:rsid w:val="0028222D"/>
    <w:rsid w:val="00282F65"/>
    <w:rsid w:val="00283B48"/>
    <w:rsid w:val="0028431E"/>
    <w:rsid w:val="002854A2"/>
    <w:rsid w:val="00286321"/>
    <w:rsid w:val="00286EE7"/>
    <w:rsid w:val="00286EEF"/>
    <w:rsid w:val="00287E2C"/>
    <w:rsid w:val="00290B09"/>
    <w:rsid w:val="00291AD6"/>
    <w:rsid w:val="0029572A"/>
    <w:rsid w:val="002960FF"/>
    <w:rsid w:val="002A1521"/>
    <w:rsid w:val="002A2AD6"/>
    <w:rsid w:val="002A3E18"/>
    <w:rsid w:val="002A49F6"/>
    <w:rsid w:val="002A4DB9"/>
    <w:rsid w:val="002A521A"/>
    <w:rsid w:val="002A57A1"/>
    <w:rsid w:val="002A5B33"/>
    <w:rsid w:val="002A5B45"/>
    <w:rsid w:val="002B2475"/>
    <w:rsid w:val="002B25EB"/>
    <w:rsid w:val="002B3CB2"/>
    <w:rsid w:val="002B3EDA"/>
    <w:rsid w:val="002B454B"/>
    <w:rsid w:val="002B56A9"/>
    <w:rsid w:val="002B5B9A"/>
    <w:rsid w:val="002B611A"/>
    <w:rsid w:val="002B6F19"/>
    <w:rsid w:val="002B7575"/>
    <w:rsid w:val="002C004B"/>
    <w:rsid w:val="002C052B"/>
    <w:rsid w:val="002C1462"/>
    <w:rsid w:val="002C1CC2"/>
    <w:rsid w:val="002C24AB"/>
    <w:rsid w:val="002C26C1"/>
    <w:rsid w:val="002C277C"/>
    <w:rsid w:val="002C291D"/>
    <w:rsid w:val="002C300A"/>
    <w:rsid w:val="002C31D9"/>
    <w:rsid w:val="002C4A24"/>
    <w:rsid w:val="002C59ED"/>
    <w:rsid w:val="002C610C"/>
    <w:rsid w:val="002C62E0"/>
    <w:rsid w:val="002C6898"/>
    <w:rsid w:val="002C6A95"/>
    <w:rsid w:val="002C7249"/>
    <w:rsid w:val="002D099B"/>
    <w:rsid w:val="002D157F"/>
    <w:rsid w:val="002D297C"/>
    <w:rsid w:val="002D3472"/>
    <w:rsid w:val="002D3573"/>
    <w:rsid w:val="002D3669"/>
    <w:rsid w:val="002D3C36"/>
    <w:rsid w:val="002D47A3"/>
    <w:rsid w:val="002D4926"/>
    <w:rsid w:val="002D6063"/>
    <w:rsid w:val="002E0A05"/>
    <w:rsid w:val="002E1493"/>
    <w:rsid w:val="002E156D"/>
    <w:rsid w:val="002E1959"/>
    <w:rsid w:val="002E1D90"/>
    <w:rsid w:val="002E1FE0"/>
    <w:rsid w:val="002E20DD"/>
    <w:rsid w:val="002E3764"/>
    <w:rsid w:val="002E3A25"/>
    <w:rsid w:val="002E4506"/>
    <w:rsid w:val="002E5BEC"/>
    <w:rsid w:val="002E5CC9"/>
    <w:rsid w:val="002E662D"/>
    <w:rsid w:val="002E68B0"/>
    <w:rsid w:val="002E7398"/>
    <w:rsid w:val="002E7A43"/>
    <w:rsid w:val="002F03D8"/>
    <w:rsid w:val="002F0C7B"/>
    <w:rsid w:val="002F18CF"/>
    <w:rsid w:val="002F2520"/>
    <w:rsid w:val="002F2BA4"/>
    <w:rsid w:val="002F3243"/>
    <w:rsid w:val="002F4707"/>
    <w:rsid w:val="002F595B"/>
    <w:rsid w:val="002F6A48"/>
    <w:rsid w:val="002F7394"/>
    <w:rsid w:val="00301C79"/>
    <w:rsid w:val="003024BB"/>
    <w:rsid w:val="00303104"/>
    <w:rsid w:val="00304EC5"/>
    <w:rsid w:val="00305221"/>
    <w:rsid w:val="00305B7B"/>
    <w:rsid w:val="003075B6"/>
    <w:rsid w:val="00310485"/>
    <w:rsid w:val="003107E9"/>
    <w:rsid w:val="00310F85"/>
    <w:rsid w:val="00310FD1"/>
    <w:rsid w:val="0031276F"/>
    <w:rsid w:val="00313B17"/>
    <w:rsid w:val="00314BBE"/>
    <w:rsid w:val="00314E6E"/>
    <w:rsid w:val="00314FE3"/>
    <w:rsid w:val="00315810"/>
    <w:rsid w:val="00315E2B"/>
    <w:rsid w:val="00316089"/>
    <w:rsid w:val="00316544"/>
    <w:rsid w:val="00316965"/>
    <w:rsid w:val="00316A94"/>
    <w:rsid w:val="00317624"/>
    <w:rsid w:val="00321AFC"/>
    <w:rsid w:val="0032287A"/>
    <w:rsid w:val="00322DE6"/>
    <w:rsid w:val="003236B5"/>
    <w:rsid w:val="00324522"/>
    <w:rsid w:val="003252AA"/>
    <w:rsid w:val="00325446"/>
    <w:rsid w:val="0032582E"/>
    <w:rsid w:val="00325F80"/>
    <w:rsid w:val="00327756"/>
    <w:rsid w:val="00327D73"/>
    <w:rsid w:val="00330225"/>
    <w:rsid w:val="003308D0"/>
    <w:rsid w:val="00330BA0"/>
    <w:rsid w:val="00331031"/>
    <w:rsid w:val="00331BD9"/>
    <w:rsid w:val="00332C45"/>
    <w:rsid w:val="00332E3D"/>
    <w:rsid w:val="00334CB2"/>
    <w:rsid w:val="003352C9"/>
    <w:rsid w:val="00335370"/>
    <w:rsid w:val="003360F8"/>
    <w:rsid w:val="00337FCF"/>
    <w:rsid w:val="0034002E"/>
    <w:rsid w:val="00340734"/>
    <w:rsid w:val="00341701"/>
    <w:rsid w:val="00341BEB"/>
    <w:rsid w:val="003425E3"/>
    <w:rsid w:val="00342A5C"/>
    <w:rsid w:val="0034348E"/>
    <w:rsid w:val="00343DBA"/>
    <w:rsid w:val="00344891"/>
    <w:rsid w:val="00345045"/>
    <w:rsid w:val="003451D7"/>
    <w:rsid w:val="00345B4F"/>
    <w:rsid w:val="00346352"/>
    <w:rsid w:val="00346468"/>
    <w:rsid w:val="003471C7"/>
    <w:rsid w:val="00347537"/>
    <w:rsid w:val="00347870"/>
    <w:rsid w:val="00347B67"/>
    <w:rsid w:val="00347F35"/>
    <w:rsid w:val="00350219"/>
    <w:rsid w:val="00350C27"/>
    <w:rsid w:val="0035204E"/>
    <w:rsid w:val="003544A8"/>
    <w:rsid w:val="003562B9"/>
    <w:rsid w:val="00356689"/>
    <w:rsid w:val="003604FF"/>
    <w:rsid w:val="0036052B"/>
    <w:rsid w:val="003606B0"/>
    <w:rsid w:val="00361CE0"/>
    <w:rsid w:val="0036279B"/>
    <w:rsid w:val="003640DF"/>
    <w:rsid w:val="0036411A"/>
    <w:rsid w:val="00365261"/>
    <w:rsid w:val="00365271"/>
    <w:rsid w:val="00365853"/>
    <w:rsid w:val="0036609D"/>
    <w:rsid w:val="0036730F"/>
    <w:rsid w:val="00367B4A"/>
    <w:rsid w:val="0037026B"/>
    <w:rsid w:val="00370A92"/>
    <w:rsid w:val="0037346A"/>
    <w:rsid w:val="00373E10"/>
    <w:rsid w:val="0037541A"/>
    <w:rsid w:val="00375AB3"/>
    <w:rsid w:val="00375D92"/>
    <w:rsid w:val="003767CD"/>
    <w:rsid w:val="003800D4"/>
    <w:rsid w:val="00380725"/>
    <w:rsid w:val="00381360"/>
    <w:rsid w:val="00381FA3"/>
    <w:rsid w:val="00382AC3"/>
    <w:rsid w:val="00382B68"/>
    <w:rsid w:val="003831AC"/>
    <w:rsid w:val="0038327F"/>
    <w:rsid w:val="0038373C"/>
    <w:rsid w:val="00383EC6"/>
    <w:rsid w:val="00384363"/>
    <w:rsid w:val="0038462D"/>
    <w:rsid w:val="00384995"/>
    <w:rsid w:val="00385517"/>
    <w:rsid w:val="003870DE"/>
    <w:rsid w:val="00391990"/>
    <w:rsid w:val="0039371A"/>
    <w:rsid w:val="003953AE"/>
    <w:rsid w:val="00397C6C"/>
    <w:rsid w:val="003A0589"/>
    <w:rsid w:val="003A0FA6"/>
    <w:rsid w:val="003A11DC"/>
    <w:rsid w:val="003A1E54"/>
    <w:rsid w:val="003A1E96"/>
    <w:rsid w:val="003A1F95"/>
    <w:rsid w:val="003A276F"/>
    <w:rsid w:val="003A286C"/>
    <w:rsid w:val="003A2B15"/>
    <w:rsid w:val="003A2F4B"/>
    <w:rsid w:val="003A3A40"/>
    <w:rsid w:val="003A49F5"/>
    <w:rsid w:val="003A4D93"/>
    <w:rsid w:val="003A5A00"/>
    <w:rsid w:val="003A672C"/>
    <w:rsid w:val="003A6F54"/>
    <w:rsid w:val="003A731C"/>
    <w:rsid w:val="003A74B4"/>
    <w:rsid w:val="003A77F3"/>
    <w:rsid w:val="003A795D"/>
    <w:rsid w:val="003A7E87"/>
    <w:rsid w:val="003B23DE"/>
    <w:rsid w:val="003B3CF2"/>
    <w:rsid w:val="003B4BA1"/>
    <w:rsid w:val="003B4BEE"/>
    <w:rsid w:val="003B6BB1"/>
    <w:rsid w:val="003B79F7"/>
    <w:rsid w:val="003C02BB"/>
    <w:rsid w:val="003C2AF0"/>
    <w:rsid w:val="003C39E5"/>
    <w:rsid w:val="003C4D65"/>
    <w:rsid w:val="003C50F0"/>
    <w:rsid w:val="003C53DA"/>
    <w:rsid w:val="003C6A4F"/>
    <w:rsid w:val="003C70D4"/>
    <w:rsid w:val="003D2E6C"/>
    <w:rsid w:val="003D31EE"/>
    <w:rsid w:val="003D3F74"/>
    <w:rsid w:val="003D542C"/>
    <w:rsid w:val="003D54E8"/>
    <w:rsid w:val="003D67C0"/>
    <w:rsid w:val="003D6A11"/>
    <w:rsid w:val="003D6D6C"/>
    <w:rsid w:val="003D6DF5"/>
    <w:rsid w:val="003E0E76"/>
    <w:rsid w:val="003E0FBA"/>
    <w:rsid w:val="003E14BA"/>
    <w:rsid w:val="003E165F"/>
    <w:rsid w:val="003E3474"/>
    <w:rsid w:val="003E3B99"/>
    <w:rsid w:val="003E4A41"/>
    <w:rsid w:val="003E55F5"/>
    <w:rsid w:val="003E5D92"/>
    <w:rsid w:val="003F0242"/>
    <w:rsid w:val="003F1222"/>
    <w:rsid w:val="003F2090"/>
    <w:rsid w:val="003F3BA1"/>
    <w:rsid w:val="003F49FD"/>
    <w:rsid w:val="003F4CEF"/>
    <w:rsid w:val="003F530E"/>
    <w:rsid w:val="003F5BB4"/>
    <w:rsid w:val="003F7FD6"/>
    <w:rsid w:val="00400A5B"/>
    <w:rsid w:val="004019A8"/>
    <w:rsid w:val="00401E84"/>
    <w:rsid w:val="00402F59"/>
    <w:rsid w:val="00403EA8"/>
    <w:rsid w:val="004041A4"/>
    <w:rsid w:val="00404ECA"/>
    <w:rsid w:val="00404EEB"/>
    <w:rsid w:val="0040507A"/>
    <w:rsid w:val="0040514D"/>
    <w:rsid w:val="00407B82"/>
    <w:rsid w:val="004104BD"/>
    <w:rsid w:val="004125DC"/>
    <w:rsid w:val="00414B49"/>
    <w:rsid w:val="00416677"/>
    <w:rsid w:val="0041788C"/>
    <w:rsid w:val="00417994"/>
    <w:rsid w:val="00422A16"/>
    <w:rsid w:val="00422DBB"/>
    <w:rsid w:val="00423F55"/>
    <w:rsid w:val="00424A76"/>
    <w:rsid w:val="00424E5C"/>
    <w:rsid w:val="00425BAE"/>
    <w:rsid w:val="0042788B"/>
    <w:rsid w:val="00430A11"/>
    <w:rsid w:val="00431584"/>
    <w:rsid w:val="00432B76"/>
    <w:rsid w:val="00435642"/>
    <w:rsid w:val="004361CF"/>
    <w:rsid w:val="004363A4"/>
    <w:rsid w:val="00440633"/>
    <w:rsid w:val="004412DB"/>
    <w:rsid w:val="00441A6F"/>
    <w:rsid w:val="00442D49"/>
    <w:rsid w:val="00444D8A"/>
    <w:rsid w:val="00445AA0"/>
    <w:rsid w:val="00445DE5"/>
    <w:rsid w:val="004466EB"/>
    <w:rsid w:val="004468B0"/>
    <w:rsid w:val="00447882"/>
    <w:rsid w:val="004514A7"/>
    <w:rsid w:val="004516E7"/>
    <w:rsid w:val="00451CC4"/>
    <w:rsid w:val="00454BA8"/>
    <w:rsid w:val="004556AD"/>
    <w:rsid w:val="0045590C"/>
    <w:rsid w:val="00456D74"/>
    <w:rsid w:val="00457400"/>
    <w:rsid w:val="00457B9B"/>
    <w:rsid w:val="00460379"/>
    <w:rsid w:val="004610BA"/>
    <w:rsid w:val="004618B7"/>
    <w:rsid w:val="004619A6"/>
    <w:rsid w:val="00461B99"/>
    <w:rsid w:val="00462F4F"/>
    <w:rsid w:val="00465E15"/>
    <w:rsid w:val="00465E40"/>
    <w:rsid w:val="00466070"/>
    <w:rsid w:val="00466751"/>
    <w:rsid w:val="00466C18"/>
    <w:rsid w:val="004704A8"/>
    <w:rsid w:val="0047078D"/>
    <w:rsid w:val="00470E38"/>
    <w:rsid w:val="0047170F"/>
    <w:rsid w:val="00471C81"/>
    <w:rsid w:val="00471EA6"/>
    <w:rsid w:val="004741C8"/>
    <w:rsid w:val="00474510"/>
    <w:rsid w:val="00474B1B"/>
    <w:rsid w:val="00474BF5"/>
    <w:rsid w:val="00474C1F"/>
    <w:rsid w:val="004758A4"/>
    <w:rsid w:val="00475E33"/>
    <w:rsid w:val="004764FD"/>
    <w:rsid w:val="00476D5B"/>
    <w:rsid w:val="004807B1"/>
    <w:rsid w:val="0048187D"/>
    <w:rsid w:val="00481A94"/>
    <w:rsid w:val="00481F82"/>
    <w:rsid w:val="004837CA"/>
    <w:rsid w:val="004839D7"/>
    <w:rsid w:val="00483E5D"/>
    <w:rsid w:val="00483F8B"/>
    <w:rsid w:val="0048427C"/>
    <w:rsid w:val="00486117"/>
    <w:rsid w:val="004900E3"/>
    <w:rsid w:val="0049176F"/>
    <w:rsid w:val="00491FC7"/>
    <w:rsid w:val="00492441"/>
    <w:rsid w:val="004927A2"/>
    <w:rsid w:val="0049390F"/>
    <w:rsid w:val="00494108"/>
    <w:rsid w:val="00494152"/>
    <w:rsid w:val="00494D58"/>
    <w:rsid w:val="00495243"/>
    <w:rsid w:val="00496B50"/>
    <w:rsid w:val="00497C0A"/>
    <w:rsid w:val="004A18DD"/>
    <w:rsid w:val="004A1C36"/>
    <w:rsid w:val="004A2452"/>
    <w:rsid w:val="004A2593"/>
    <w:rsid w:val="004A2D12"/>
    <w:rsid w:val="004A2E85"/>
    <w:rsid w:val="004A3103"/>
    <w:rsid w:val="004A35D5"/>
    <w:rsid w:val="004A36F6"/>
    <w:rsid w:val="004A46BB"/>
    <w:rsid w:val="004A5910"/>
    <w:rsid w:val="004A597B"/>
    <w:rsid w:val="004A6240"/>
    <w:rsid w:val="004A6406"/>
    <w:rsid w:val="004A79E6"/>
    <w:rsid w:val="004B050B"/>
    <w:rsid w:val="004B067E"/>
    <w:rsid w:val="004B28FB"/>
    <w:rsid w:val="004B3D6E"/>
    <w:rsid w:val="004B4279"/>
    <w:rsid w:val="004B543C"/>
    <w:rsid w:val="004B58EB"/>
    <w:rsid w:val="004B59B2"/>
    <w:rsid w:val="004B6355"/>
    <w:rsid w:val="004B64B9"/>
    <w:rsid w:val="004B65C6"/>
    <w:rsid w:val="004B75AC"/>
    <w:rsid w:val="004C0774"/>
    <w:rsid w:val="004C0D73"/>
    <w:rsid w:val="004C12FC"/>
    <w:rsid w:val="004C141A"/>
    <w:rsid w:val="004C15EC"/>
    <w:rsid w:val="004C1CFB"/>
    <w:rsid w:val="004C2EC0"/>
    <w:rsid w:val="004C2EE6"/>
    <w:rsid w:val="004C2FF3"/>
    <w:rsid w:val="004C376C"/>
    <w:rsid w:val="004C5020"/>
    <w:rsid w:val="004C5D0F"/>
    <w:rsid w:val="004C71B7"/>
    <w:rsid w:val="004C78E4"/>
    <w:rsid w:val="004D1D9F"/>
    <w:rsid w:val="004D1F70"/>
    <w:rsid w:val="004D2560"/>
    <w:rsid w:val="004D3023"/>
    <w:rsid w:val="004D31F6"/>
    <w:rsid w:val="004D3572"/>
    <w:rsid w:val="004D5FA8"/>
    <w:rsid w:val="004D6EAF"/>
    <w:rsid w:val="004D72AF"/>
    <w:rsid w:val="004D7F8C"/>
    <w:rsid w:val="004E017E"/>
    <w:rsid w:val="004E0CF7"/>
    <w:rsid w:val="004E0D9A"/>
    <w:rsid w:val="004E282B"/>
    <w:rsid w:val="004E43C4"/>
    <w:rsid w:val="004E497E"/>
    <w:rsid w:val="004E543F"/>
    <w:rsid w:val="004E5879"/>
    <w:rsid w:val="004E6299"/>
    <w:rsid w:val="004E6498"/>
    <w:rsid w:val="004E73A9"/>
    <w:rsid w:val="004E766C"/>
    <w:rsid w:val="004E7E5B"/>
    <w:rsid w:val="004F0C7F"/>
    <w:rsid w:val="004F1659"/>
    <w:rsid w:val="004F1806"/>
    <w:rsid w:val="004F1C09"/>
    <w:rsid w:val="004F20B6"/>
    <w:rsid w:val="004F2DC4"/>
    <w:rsid w:val="004F3DE9"/>
    <w:rsid w:val="004F43EE"/>
    <w:rsid w:val="004F4558"/>
    <w:rsid w:val="004F5246"/>
    <w:rsid w:val="004F57E0"/>
    <w:rsid w:val="004F66FE"/>
    <w:rsid w:val="004F687B"/>
    <w:rsid w:val="004F6B59"/>
    <w:rsid w:val="004F762C"/>
    <w:rsid w:val="004F78AF"/>
    <w:rsid w:val="004F7AE0"/>
    <w:rsid w:val="00500704"/>
    <w:rsid w:val="005009CB"/>
    <w:rsid w:val="00500E17"/>
    <w:rsid w:val="00500EE4"/>
    <w:rsid w:val="00501DAD"/>
    <w:rsid w:val="00502AAC"/>
    <w:rsid w:val="00503783"/>
    <w:rsid w:val="00503E9B"/>
    <w:rsid w:val="00504FEE"/>
    <w:rsid w:val="00505BCC"/>
    <w:rsid w:val="00506D1A"/>
    <w:rsid w:val="00506E30"/>
    <w:rsid w:val="00506E3F"/>
    <w:rsid w:val="00507927"/>
    <w:rsid w:val="00510EC8"/>
    <w:rsid w:val="005115A0"/>
    <w:rsid w:val="00512D28"/>
    <w:rsid w:val="00512EFB"/>
    <w:rsid w:val="00512F94"/>
    <w:rsid w:val="00513607"/>
    <w:rsid w:val="00513AE1"/>
    <w:rsid w:val="00513F62"/>
    <w:rsid w:val="005145DF"/>
    <w:rsid w:val="00514988"/>
    <w:rsid w:val="00514A02"/>
    <w:rsid w:val="0051503E"/>
    <w:rsid w:val="00516F6B"/>
    <w:rsid w:val="005178AA"/>
    <w:rsid w:val="00517C74"/>
    <w:rsid w:val="00517D77"/>
    <w:rsid w:val="00522390"/>
    <w:rsid w:val="005231F6"/>
    <w:rsid w:val="0052379E"/>
    <w:rsid w:val="00524079"/>
    <w:rsid w:val="00524984"/>
    <w:rsid w:val="00524D63"/>
    <w:rsid w:val="00525994"/>
    <w:rsid w:val="005264D5"/>
    <w:rsid w:val="005279E2"/>
    <w:rsid w:val="005305D9"/>
    <w:rsid w:val="00530B9E"/>
    <w:rsid w:val="00530CA6"/>
    <w:rsid w:val="00530DE5"/>
    <w:rsid w:val="00530EEA"/>
    <w:rsid w:val="00531673"/>
    <w:rsid w:val="00531883"/>
    <w:rsid w:val="00531FEC"/>
    <w:rsid w:val="00532992"/>
    <w:rsid w:val="005343D7"/>
    <w:rsid w:val="00536584"/>
    <w:rsid w:val="0053688E"/>
    <w:rsid w:val="0053726E"/>
    <w:rsid w:val="005376F7"/>
    <w:rsid w:val="00541A33"/>
    <w:rsid w:val="00542226"/>
    <w:rsid w:val="005433A5"/>
    <w:rsid w:val="0054340F"/>
    <w:rsid w:val="00543536"/>
    <w:rsid w:val="00543707"/>
    <w:rsid w:val="00545669"/>
    <w:rsid w:val="005476B6"/>
    <w:rsid w:val="005502CA"/>
    <w:rsid w:val="00550FE9"/>
    <w:rsid w:val="00551517"/>
    <w:rsid w:val="00551556"/>
    <w:rsid w:val="00552062"/>
    <w:rsid w:val="00552254"/>
    <w:rsid w:val="005522F5"/>
    <w:rsid w:val="005535AD"/>
    <w:rsid w:val="005537AA"/>
    <w:rsid w:val="00553983"/>
    <w:rsid w:val="00553B25"/>
    <w:rsid w:val="0055410F"/>
    <w:rsid w:val="005562EC"/>
    <w:rsid w:val="005565A6"/>
    <w:rsid w:val="005600F8"/>
    <w:rsid w:val="005604CF"/>
    <w:rsid w:val="00560B1A"/>
    <w:rsid w:val="00561BCC"/>
    <w:rsid w:val="00561E25"/>
    <w:rsid w:val="00562143"/>
    <w:rsid w:val="005628AB"/>
    <w:rsid w:val="005634D3"/>
    <w:rsid w:val="0056415B"/>
    <w:rsid w:val="005641BD"/>
    <w:rsid w:val="00564396"/>
    <w:rsid w:val="0056464D"/>
    <w:rsid w:val="0056484B"/>
    <w:rsid w:val="005648D1"/>
    <w:rsid w:val="00565E27"/>
    <w:rsid w:val="00565E6A"/>
    <w:rsid w:val="00566538"/>
    <w:rsid w:val="00566577"/>
    <w:rsid w:val="00566A19"/>
    <w:rsid w:val="00567682"/>
    <w:rsid w:val="00570EF9"/>
    <w:rsid w:val="0057120E"/>
    <w:rsid w:val="00572750"/>
    <w:rsid w:val="0057322A"/>
    <w:rsid w:val="0057442A"/>
    <w:rsid w:val="00574889"/>
    <w:rsid w:val="00574C08"/>
    <w:rsid w:val="005775D8"/>
    <w:rsid w:val="00577F70"/>
    <w:rsid w:val="0058075F"/>
    <w:rsid w:val="00581864"/>
    <w:rsid w:val="00581C43"/>
    <w:rsid w:val="00581F86"/>
    <w:rsid w:val="00583202"/>
    <w:rsid w:val="00583A73"/>
    <w:rsid w:val="00584E98"/>
    <w:rsid w:val="00586235"/>
    <w:rsid w:val="00586850"/>
    <w:rsid w:val="00586F6C"/>
    <w:rsid w:val="00593EDA"/>
    <w:rsid w:val="00595E38"/>
    <w:rsid w:val="00596507"/>
    <w:rsid w:val="0059682E"/>
    <w:rsid w:val="00597954"/>
    <w:rsid w:val="00597F56"/>
    <w:rsid w:val="005A029B"/>
    <w:rsid w:val="005A1469"/>
    <w:rsid w:val="005A3661"/>
    <w:rsid w:val="005A47B9"/>
    <w:rsid w:val="005A6624"/>
    <w:rsid w:val="005A763A"/>
    <w:rsid w:val="005B2DED"/>
    <w:rsid w:val="005B3BFB"/>
    <w:rsid w:val="005B63C2"/>
    <w:rsid w:val="005C0D4E"/>
    <w:rsid w:val="005C2218"/>
    <w:rsid w:val="005C2487"/>
    <w:rsid w:val="005C26E5"/>
    <w:rsid w:val="005C297D"/>
    <w:rsid w:val="005C2CCA"/>
    <w:rsid w:val="005C3D99"/>
    <w:rsid w:val="005C4506"/>
    <w:rsid w:val="005C4FA1"/>
    <w:rsid w:val="005C5BCB"/>
    <w:rsid w:val="005C5C14"/>
    <w:rsid w:val="005C6878"/>
    <w:rsid w:val="005C6E87"/>
    <w:rsid w:val="005C7318"/>
    <w:rsid w:val="005C7A4C"/>
    <w:rsid w:val="005C7C08"/>
    <w:rsid w:val="005D019A"/>
    <w:rsid w:val="005D0C01"/>
    <w:rsid w:val="005D2FCA"/>
    <w:rsid w:val="005D3505"/>
    <w:rsid w:val="005D35B6"/>
    <w:rsid w:val="005D36FE"/>
    <w:rsid w:val="005D519F"/>
    <w:rsid w:val="005D5552"/>
    <w:rsid w:val="005D64B3"/>
    <w:rsid w:val="005D691A"/>
    <w:rsid w:val="005D7158"/>
    <w:rsid w:val="005D7810"/>
    <w:rsid w:val="005D7DCD"/>
    <w:rsid w:val="005D7E9B"/>
    <w:rsid w:val="005D7F94"/>
    <w:rsid w:val="005E0145"/>
    <w:rsid w:val="005E01CE"/>
    <w:rsid w:val="005E0213"/>
    <w:rsid w:val="005E198B"/>
    <w:rsid w:val="005E1B51"/>
    <w:rsid w:val="005E3185"/>
    <w:rsid w:val="005E384A"/>
    <w:rsid w:val="005E4038"/>
    <w:rsid w:val="005E4205"/>
    <w:rsid w:val="005E458D"/>
    <w:rsid w:val="005E4FDE"/>
    <w:rsid w:val="005E5194"/>
    <w:rsid w:val="005E52C6"/>
    <w:rsid w:val="005E6E20"/>
    <w:rsid w:val="005E7E1D"/>
    <w:rsid w:val="005E7FB0"/>
    <w:rsid w:val="005F0319"/>
    <w:rsid w:val="005F067B"/>
    <w:rsid w:val="005F0CF2"/>
    <w:rsid w:val="005F11EC"/>
    <w:rsid w:val="005F1AA5"/>
    <w:rsid w:val="005F2301"/>
    <w:rsid w:val="005F231B"/>
    <w:rsid w:val="005F500A"/>
    <w:rsid w:val="005F6211"/>
    <w:rsid w:val="0060278C"/>
    <w:rsid w:val="00603113"/>
    <w:rsid w:val="0060387F"/>
    <w:rsid w:val="0060509E"/>
    <w:rsid w:val="00605194"/>
    <w:rsid w:val="0060591C"/>
    <w:rsid w:val="0060591E"/>
    <w:rsid w:val="00605B86"/>
    <w:rsid w:val="00605D16"/>
    <w:rsid w:val="006060E0"/>
    <w:rsid w:val="00606E29"/>
    <w:rsid w:val="00612B24"/>
    <w:rsid w:val="00612E11"/>
    <w:rsid w:val="006130E4"/>
    <w:rsid w:val="0061382D"/>
    <w:rsid w:val="00613C87"/>
    <w:rsid w:val="006144E1"/>
    <w:rsid w:val="0061459A"/>
    <w:rsid w:val="00615886"/>
    <w:rsid w:val="00616506"/>
    <w:rsid w:val="0062139A"/>
    <w:rsid w:val="0062213B"/>
    <w:rsid w:val="00623343"/>
    <w:rsid w:val="00623FB2"/>
    <w:rsid w:val="006244B5"/>
    <w:rsid w:val="00624758"/>
    <w:rsid w:val="00624A12"/>
    <w:rsid w:val="0062522E"/>
    <w:rsid w:val="006261C2"/>
    <w:rsid w:val="00626D7E"/>
    <w:rsid w:val="0062757C"/>
    <w:rsid w:val="00627BF7"/>
    <w:rsid w:val="006300DC"/>
    <w:rsid w:val="006310D9"/>
    <w:rsid w:val="00631C24"/>
    <w:rsid w:val="0063266D"/>
    <w:rsid w:val="00632994"/>
    <w:rsid w:val="006338A4"/>
    <w:rsid w:val="00633AFB"/>
    <w:rsid w:val="00633BF8"/>
    <w:rsid w:val="006347E1"/>
    <w:rsid w:val="006351C4"/>
    <w:rsid w:val="006352EC"/>
    <w:rsid w:val="00635A3F"/>
    <w:rsid w:val="00635E6F"/>
    <w:rsid w:val="00635F40"/>
    <w:rsid w:val="0063624E"/>
    <w:rsid w:val="00636D0B"/>
    <w:rsid w:val="00637F3D"/>
    <w:rsid w:val="00637F40"/>
    <w:rsid w:val="006400CB"/>
    <w:rsid w:val="00643284"/>
    <w:rsid w:val="00643354"/>
    <w:rsid w:val="006433A8"/>
    <w:rsid w:val="00644FA0"/>
    <w:rsid w:val="00644FB2"/>
    <w:rsid w:val="00645CE2"/>
    <w:rsid w:val="00646973"/>
    <w:rsid w:val="00646A99"/>
    <w:rsid w:val="00646D52"/>
    <w:rsid w:val="00647F1E"/>
    <w:rsid w:val="0065058F"/>
    <w:rsid w:val="00651B12"/>
    <w:rsid w:val="006522DD"/>
    <w:rsid w:val="0065261F"/>
    <w:rsid w:val="00652653"/>
    <w:rsid w:val="006526CB"/>
    <w:rsid w:val="006527D8"/>
    <w:rsid w:val="00652AEF"/>
    <w:rsid w:val="00652F22"/>
    <w:rsid w:val="00653182"/>
    <w:rsid w:val="00653BCB"/>
    <w:rsid w:val="006551A1"/>
    <w:rsid w:val="00655F45"/>
    <w:rsid w:val="00656B7C"/>
    <w:rsid w:val="00656EE7"/>
    <w:rsid w:val="0066005A"/>
    <w:rsid w:val="00660BF8"/>
    <w:rsid w:val="00660C00"/>
    <w:rsid w:val="0066113C"/>
    <w:rsid w:val="006624E5"/>
    <w:rsid w:val="00662A6D"/>
    <w:rsid w:val="00663744"/>
    <w:rsid w:val="00663DFB"/>
    <w:rsid w:val="00665A50"/>
    <w:rsid w:val="006668AA"/>
    <w:rsid w:val="00666CCB"/>
    <w:rsid w:val="0066738F"/>
    <w:rsid w:val="00672C99"/>
    <w:rsid w:val="00673841"/>
    <w:rsid w:val="006816E1"/>
    <w:rsid w:val="00682AE1"/>
    <w:rsid w:val="0068328A"/>
    <w:rsid w:val="00690A34"/>
    <w:rsid w:val="00690B9F"/>
    <w:rsid w:val="00692EB3"/>
    <w:rsid w:val="00693E49"/>
    <w:rsid w:val="00694674"/>
    <w:rsid w:val="00697198"/>
    <w:rsid w:val="0069746C"/>
    <w:rsid w:val="00697D81"/>
    <w:rsid w:val="006A0836"/>
    <w:rsid w:val="006A0858"/>
    <w:rsid w:val="006A101B"/>
    <w:rsid w:val="006A1373"/>
    <w:rsid w:val="006A18AE"/>
    <w:rsid w:val="006A1BC0"/>
    <w:rsid w:val="006A2DC8"/>
    <w:rsid w:val="006A4510"/>
    <w:rsid w:val="006A4B5E"/>
    <w:rsid w:val="006A554E"/>
    <w:rsid w:val="006A55A3"/>
    <w:rsid w:val="006A60E8"/>
    <w:rsid w:val="006A69E6"/>
    <w:rsid w:val="006B03C6"/>
    <w:rsid w:val="006B0E40"/>
    <w:rsid w:val="006B15AF"/>
    <w:rsid w:val="006B1821"/>
    <w:rsid w:val="006B1B93"/>
    <w:rsid w:val="006B327F"/>
    <w:rsid w:val="006B3706"/>
    <w:rsid w:val="006B390C"/>
    <w:rsid w:val="006B3E0E"/>
    <w:rsid w:val="006B41BF"/>
    <w:rsid w:val="006B47D5"/>
    <w:rsid w:val="006B572C"/>
    <w:rsid w:val="006C0380"/>
    <w:rsid w:val="006C06B1"/>
    <w:rsid w:val="006C1607"/>
    <w:rsid w:val="006C1D72"/>
    <w:rsid w:val="006C22DA"/>
    <w:rsid w:val="006C279C"/>
    <w:rsid w:val="006C27A5"/>
    <w:rsid w:val="006C2CCA"/>
    <w:rsid w:val="006C2F66"/>
    <w:rsid w:val="006C35BC"/>
    <w:rsid w:val="006C4BBB"/>
    <w:rsid w:val="006C4F0C"/>
    <w:rsid w:val="006C50F1"/>
    <w:rsid w:val="006C7A60"/>
    <w:rsid w:val="006D02B7"/>
    <w:rsid w:val="006D041C"/>
    <w:rsid w:val="006D0459"/>
    <w:rsid w:val="006D1125"/>
    <w:rsid w:val="006D16E8"/>
    <w:rsid w:val="006D209F"/>
    <w:rsid w:val="006D367C"/>
    <w:rsid w:val="006D3B80"/>
    <w:rsid w:val="006D3CE9"/>
    <w:rsid w:val="006D44A8"/>
    <w:rsid w:val="006D44E8"/>
    <w:rsid w:val="006D499A"/>
    <w:rsid w:val="006D4DEA"/>
    <w:rsid w:val="006D5917"/>
    <w:rsid w:val="006D5B2F"/>
    <w:rsid w:val="006D5D2E"/>
    <w:rsid w:val="006D5E42"/>
    <w:rsid w:val="006D6357"/>
    <w:rsid w:val="006D6EF1"/>
    <w:rsid w:val="006D759F"/>
    <w:rsid w:val="006D7F9D"/>
    <w:rsid w:val="006E01A9"/>
    <w:rsid w:val="006E0ED7"/>
    <w:rsid w:val="006E1EB6"/>
    <w:rsid w:val="006E231E"/>
    <w:rsid w:val="006E2880"/>
    <w:rsid w:val="006E3F7D"/>
    <w:rsid w:val="006E50CF"/>
    <w:rsid w:val="006E5ED3"/>
    <w:rsid w:val="006E6808"/>
    <w:rsid w:val="006F0815"/>
    <w:rsid w:val="006F08F2"/>
    <w:rsid w:val="006F0B00"/>
    <w:rsid w:val="006F0EB3"/>
    <w:rsid w:val="006F1856"/>
    <w:rsid w:val="006F1BC7"/>
    <w:rsid w:val="006F4EE1"/>
    <w:rsid w:val="006F5AF6"/>
    <w:rsid w:val="006F5FC1"/>
    <w:rsid w:val="006F6365"/>
    <w:rsid w:val="006F6371"/>
    <w:rsid w:val="006F6E1A"/>
    <w:rsid w:val="006F700F"/>
    <w:rsid w:val="006F7860"/>
    <w:rsid w:val="0070026A"/>
    <w:rsid w:val="007003E4"/>
    <w:rsid w:val="00701272"/>
    <w:rsid w:val="00703055"/>
    <w:rsid w:val="007036B1"/>
    <w:rsid w:val="00705C61"/>
    <w:rsid w:val="00705ECF"/>
    <w:rsid w:val="007078BC"/>
    <w:rsid w:val="00710903"/>
    <w:rsid w:val="00711140"/>
    <w:rsid w:val="0071189F"/>
    <w:rsid w:val="007124F2"/>
    <w:rsid w:val="007126E0"/>
    <w:rsid w:val="0071410A"/>
    <w:rsid w:val="00714992"/>
    <w:rsid w:val="00715661"/>
    <w:rsid w:val="00716063"/>
    <w:rsid w:val="00716CA6"/>
    <w:rsid w:val="00716CC3"/>
    <w:rsid w:val="0071719A"/>
    <w:rsid w:val="0071770B"/>
    <w:rsid w:val="00717746"/>
    <w:rsid w:val="00717BEB"/>
    <w:rsid w:val="0072016F"/>
    <w:rsid w:val="007204FB"/>
    <w:rsid w:val="0072070F"/>
    <w:rsid w:val="00722A00"/>
    <w:rsid w:val="00722E11"/>
    <w:rsid w:val="00722E6A"/>
    <w:rsid w:val="0072381F"/>
    <w:rsid w:val="00723E61"/>
    <w:rsid w:val="00724E0C"/>
    <w:rsid w:val="00727CF3"/>
    <w:rsid w:val="00730118"/>
    <w:rsid w:val="00730F88"/>
    <w:rsid w:val="00731FF2"/>
    <w:rsid w:val="00732B8A"/>
    <w:rsid w:val="007338D3"/>
    <w:rsid w:val="00734424"/>
    <w:rsid w:val="007345F4"/>
    <w:rsid w:val="0073588D"/>
    <w:rsid w:val="00735EFB"/>
    <w:rsid w:val="00736070"/>
    <w:rsid w:val="0073615F"/>
    <w:rsid w:val="0073631C"/>
    <w:rsid w:val="00736B94"/>
    <w:rsid w:val="007371EC"/>
    <w:rsid w:val="00737470"/>
    <w:rsid w:val="0073786D"/>
    <w:rsid w:val="007401EB"/>
    <w:rsid w:val="00741F26"/>
    <w:rsid w:val="00742913"/>
    <w:rsid w:val="00742F83"/>
    <w:rsid w:val="00743A63"/>
    <w:rsid w:val="0074409A"/>
    <w:rsid w:val="0074463E"/>
    <w:rsid w:val="00744755"/>
    <w:rsid w:val="00744862"/>
    <w:rsid w:val="007452F3"/>
    <w:rsid w:val="00746A2A"/>
    <w:rsid w:val="00747873"/>
    <w:rsid w:val="00751461"/>
    <w:rsid w:val="0075490E"/>
    <w:rsid w:val="0075627B"/>
    <w:rsid w:val="0075631C"/>
    <w:rsid w:val="00756859"/>
    <w:rsid w:val="00756D52"/>
    <w:rsid w:val="007579D3"/>
    <w:rsid w:val="00760CA7"/>
    <w:rsid w:val="00761AA0"/>
    <w:rsid w:val="00762399"/>
    <w:rsid w:val="0076435A"/>
    <w:rsid w:val="00764362"/>
    <w:rsid w:val="00765692"/>
    <w:rsid w:val="00765D72"/>
    <w:rsid w:val="0076670C"/>
    <w:rsid w:val="007668B0"/>
    <w:rsid w:val="00767456"/>
    <w:rsid w:val="00767746"/>
    <w:rsid w:val="0077052D"/>
    <w:rsid w:val="00770620"/>
    <w:rsid w:val="00771D3B"/>
    <w:rsid w:val="00771DB2"/>
    <w:rsid w:val="00772180"/>
    <w:rsid w:val="007739E2"/>
    <w:rsid w:val="007739EB"/>
    <w:rsid w:val="007747CD"/>
    <w:rsid w:val="00774EF3"/>
    <w:rsid w:val="00776165"/>
    <w:rsid w:val="00776DC1"/>
    <w:rsid w:val="00776E1F"/>
    <w:rsid w:val="00776E39"/>
    <w:rsid w:val="00777376"/>
    <w:rsid w:val="00777C1C"/>
    <w:rsid w:val="00777E47"/>
    <w:rsid w:val="0078075B"/>
    <w:rsid w:val="00784691"/>
    <w:rsid w:val="007846B5"/>
    <w:rsid w:val="00784E38"/>
    <w:rsid w:val="00784F72"/>
    <w:rsid w:val="00785544"/>
    <w:rsid w:val="00785D80"/>
    <w:rsid w:val="00786688"/>
    <w:rsid w:val="007868F2"/>
    <w:rsid w:val="007872F3"/>
    <w:rsid w:val="007901BB"/>
    <w:rsid w:val="00790C62"/>
    <w:rsid w:val="00790D0F"/>
    <w:rsid w:val="00790ECE"/>
    <w:rsid w:val="00792AC6"/>
    <w:rsid w:val="00793632"/>
    <w:rsid w:val="0079365D"/>
    <w:rsid w:val="0079366E"/>
    <w:rsid w:val="00793CA9"/>
    <w:rsid w:val="00793D52"/>
    <w:rsid w:val="00793D6D"/>
    <w:rsid w:val="00794E77"/>
    <w:rsid w:val="00795EBC"/>
    <w:rsid w:val="00796E73"/>
    <w:rsid w:val="00796E8C"/>
    <w:rsid w:val="00797813"/>
    <w:rsid w:val="00797E15"/>
    <w:rsid w:val="007A0270"/>
    <w:rsid w:val="007A0E0B"/>
    <w:rsid w:val="007A3083"/>
    <w:rsid w:val="007A31EA"/>
    <w:rsid w:val="007A35C7"/>
    <w:rsid w:val="007A40B4"/>
    <w:rsid w:val="007A490D"/>
    <w:rsid w:val="007A4A2B"/>
    <w:rsid w:val="007A546F"/>
    <w:rsid w:val="007A63A2"/>
    <w:rsid w:val="007A701E"/>
    <w:rsid w:val="007A749F"/>
    <w:rsid w:val="007B0392"/>
    <w:rsid w:val="007B32D8"/>
    <w:rsid w:val="007B333C"/>
    <w:rsid w:val="007B33F5"/>
    <w:rsid w:val="007B3620"/>
    <w:rsid w:val="007B4D20"/>
    <w:rsid w:val="007B4E23"/>
    <w:rsid w:val="007B5C9F"/>
    <w:rsid w:val="007B69EA"/>
    <w:rsid w:val="007B6CBF"/>
    <w:rsid w:val="007B7B73"/>
    <w:rsid w:val="007C0675"/>
    <w:rsid w:val="007C0B8F"/>
    <w:rsid w:val="007C0F24"/>
    <w:rsid w:val="007C10C6"/>
    <w:rsid w:val="007C137D"/>
    <w:rsid w:val="007C14BF"/>
    <w:rsid w:val="007C2618"/>
    <w:rsid w:val="007C39FF"/>
    <w:rsid w:val="007C3D5D"/>
    <w:rsid w:val="007C402A"/>
    <w:rsid w:val="007C5B62"/>
    <w:rsid w:val="007C6D18"/>
    <w:rsid w:val="007D0911"/>
    <w:rsid w:val="007D0B3C"/>
    <w:rsid w:val="007D0B63"/>
    <w:rsid w:val="007D136A"/>
    <w:rsid w:val="007D1CFD"/>
    <w:rsid w:val="007D252F"/>
    <w:rsid w:val="007D2C6D"/>
    <w:rsid w:val="007D2FA8"/>
    <w:rsid w:val="007D3532"/>
    <w:rsid w:val="007D3D2A"/>
    <w:rsid w:val="007D407D"/>
    <w:rsid w:val="007D43EE"/>
    <w:rsid w:val="007D4E05"/>
    <w:rsid w:val="007D59DD"/>
    <w:rsid w:val="007D6173"/>
    <w:rsid w:val="007D63EF"/>
    <w:rsid w:val="007D6E68"/>
    <w:rsid w:val="007E0A24"/>
    <w:rsid w:val="007E1AD0"/>
    <w:rsid w:val="007E25D9"/>
    <w:rsid w:val="007E359C"/>
    <w:rsid w:val="007E3DEF"/>
    <w:rsid w:val="007E4AA1"/>
    <w:rsid w:val="007E53AF"/>
    <w:rsid w:val="007E58B1"/>
    <w:rsid w:val="007E6443"/>
    <w:rsid w:val="007E66DD"/>
    <w:rsid w:val="007E6EFA"/>
    <w:rsid w:val="007F0EAA"/>
    <w:rsid w:val="007F1511"/>
    <w:rsid w:val="007F1F9C"/>
    <w:rsid w:val="007F2883"/>
    <w:rsid w:val="007F33B0"/>
    <w:rsid w:val="007F5565"/>
    <w:rsid w:val="007F5E6A"/>
    <w:rsid w:val="007F6318"/>
    <w:rsid w:val="007F75A5"/>
    <w:rsid w:val="007F7BF4"/>
    <w:rsid w:val="008000D9"/>
    <w:rsid w:val="00800EF0"/>
    <w:rsid w:val="00800FF9"/>
    <w:rsid w:val="0080186D"/>
    <w:rsid w:val="00801F78"/>
    <w:rsid w:val="008021D5"/>
    <w:rsid w:val="00803566"/>
    <w:rsid w:val="008035BD"/>
    <w:rsid w:val="008042BB"/>
    <w:rsid w:val="008059F8"/>
    <w:rsid w:val="00805A72"/>
    <w:rsid w:val="008061E1"/>
    <w:rsid w:val="0080658E"/>
    <w:rsid w:val="00806868"/>
    <w:rsid w:val="008069B9"/>
    <w:rsid w:val="00807A0B"/>
    <w:rsid w:val="008100A2"/>
    <w:rsid w:val="008111FB"/>
    <w:rsid w:val="008113C1"/>
    <w:rsid w:val="00812AEC"/>
    <w:rsid w:val="008136B5"/>
    <w:rsid w:val="00813D6A"/>
    <w:rsid w:val="008143D4"/>
    <w:rsid w:val="00822ADE"/>
    <w:rsid w:val="0082307B"/>
    <w:rsid w:val="008234D7"/>
    <w:rsid w:val="00823943"/>
    <w:rsid w:val="00824A7D"/>
    <w:rsid w:val="008254C1"/>
    <w:rsid w:val="008263C0"/>
    <w:rsid w:val="00826869"/>
    <w:rsid w:val="00826E4E"/>
    <w:rsid w:val="0082752B"/>
    <w:rsid w:val="008278A9"/>
    <w:rsid w:val="00827D4B"/>
    <w:rsid w:val="00830B0B"/>
    <w:rsid w:val="00830C02"/>
    <w:rsid w:val="00831EEC"/>
    <w:rsid w:val="0083315B"/>
    <w:rsid w:val="008332F6"/>
    <w:rsid w:val="00834382"/>
    <w:rsid w:val="00834B19"/>
    <w:rsid w:val="00834E7D"/>
    <w:rsid w:val="008364F3"/>
    <w:rsid w:val="00836CCE"/>
    <w:rsid w:val="0084064F"/>
    <w:rsid w:val="00841783"/>
    <w:rsid w:val="00841BDF"/>
    <w:rsid w:val="00842506"/>
    <w:rsid w:val="008428FB"/>
    <w:rsid w:val="00843D5D"/>
    <w:rsid w:val="00844493"/>
    <w:rsid w:val="008445E2"/>
    <w:rsid w:val="00844ACA"/>
    <w:rsid w:val="008450BD"/>
    <w:rsid w:val="00845FCC"/>
    <w:rsid w:val="00846D07"/>
    <w:rsid w:val="00846FC6"/>
    <w:rsid w:val="008502CC"/>
    <w:rsid w:val="008509FB"/>
    <w:rsid w:val="00851784"/>
    <w:rsid w:val="00851A7F"/>
    <w:rsid w:val="008524CA"/>
    <w:rsid w:val="00854F61"/>
    <w:rsid w:val="0085563E"/>
    <w:rsid w:val="00855D2C"/>
    <w:rsid w:val="008564AC"/>
    <w:rsid w:val="00856C81"/>
    <w:rsid w:val="00856FBB"/>
    <w:rsid w:val="00857238"/>
    <w:rsid w:val="00860287"/>
    <w:rsid w:val="0086142E"/>
    <w:rsid w:val="0086158A"/>
    <w:rsid w:val="0086198C"/>
    <w:rsid w:val="00861B27"/>
    <w:rsid w:val="00861C1A"/>
    <w:rsid w:val="008622E9"/>
    <w:rsid w:val="008664F5"/>
    <w:rsid w:val="0086678A"/>
    <w:rsid w:val="0086752A"/>
    <w:rsid w:val="008678EF"/>
    <w:rsid w:val="00870850"/>
    <w:rsid w:val="0087122B"/>
    <w:rsid w:val="00872D6D"/>
    <w:rsid w:val="00873EF2"/>
    <w:rsid w:val="008751A3"/>
    <w:rsid w:val="00875721"/>
    <w:rsid w:val="0087573B"/>
    <w:rsid w:val="00875847"/>
    <w:rsid w:val="00876856"/>
    <w:rsid w:val="00876D67"/>
    <w:rsid w:val="00880079"/>
    <w:rsid w:val="008803B6"/>
    <w:rsid w:val="00880E41"/>
    <w:rsid w:val="00881A75"/>
    <w:rsid w:val="00882CBC"/>
    <w:rsid w:val="00883A2B"/>
    <w:rsid w:val="00884536"/>
    <w:rsid w:val="0088636C"/>
    <w:rsid w:val="00886D8E"/>
    <w:rsid w:val="00886E16"/>
    <w:rsid w:val="0088726F"/>
    <w:rsid w:val="008922A0"/>
    <w:rsid w:val="00894995"/>
    <w:rsid w:val="00894ECB"/>
    <w:rsid w:val="00895A55"/>
    <w:rsid w:val="00895D67"/>
    <w:rsid w:val="00897481"/>
    <w:rsid w:val="00897AE0"/>
    <w:rsid w:val="00897D00"/>
    <w:rsid w:val="008A036E"/>
    <w:rsid w:val="008A08CB"/>
    <w:rsid w:val="008A1080"/>
    <w:rsid w:val="008A114C"/>
    <w:rsid w:val="008A196A"/>
    <w:rsid w:val="008A1AAA"/>
    <w:rsid w:val="008A1E67"/>
    <w:rsid w:val="008A25AD"/>
    <w:rsid w:val="008A2724"/>
    <w:rsid w:val="008A2ADC"/>
    <w:rsid w:val="008A3737"/>
    <w:rsid w:val="008A3AB1"/>
    <w:rsid w:val="008A50ED"/>
    <w:rsid w:val="008A6024"/>
    <w:rsid w:val="008A6ECE"/>
    <w:rsid w:val="008A7355"/>
    <w:rsid w:val="008A77F3"/>
    <w:rsid w:val="008A7EF5"/>
    <w:rsid w:val="008B0746"/>
    <w:rsid w:val="008B0ED2"/>
    <w:rsid w:val="008B19B2"/>
    <w:rsid w:val="008B269B"/>
    <w:rsid w:val="008B2FA6"/>
    <w:rsid w:val="008B32E5"/>
    <w:rsid w:val="008B3F0F"/>
    <w:rsid w:val="008B4337"/>
    <w:rsid w:val="008B45B9"/>
    <w:rsid w:val="008B52CA"/>
    <w:rsid w:val="008B5301"/>
    <w:rsid w:val="008B563B"/>
    <w:rsid w:val="008B57FB"/>
    <w:rsid w:val="008B5C4B"/>
    <w:rsid w:val="008B65AE"/>
    <w:rsid w:val="008B65B8"/>
    <w:rsid w:val="008B673C"/>
    <w:rsid w:val="008B6785"/>
    <w:rsid w:val="008C0BDA"/>
    <w:rsid w:val="008C0D57"/>
    <w:rsid w:val="008C12F0"/>
    <w:rsid w:val="008C17D3"/>
    <w:rsid w:val="008C23B4"/>
    <w:rsid w:val="008C2D5A"/>
    <w:rsid w:val="008C30F2"/>
    <w:rsid w:val="008C34DB"/>
    <w:rsid w:val="008C3AE8"/>
    <w:rsid w:val="008C4781"/>
    <w:rsid w:val="008C4C22"/>
    <w:rsid w:val="008C5170"/>
    <w:rsid w:val="008C588B"/>
    <w:rsid w:val="008C58D3"/>
    <w:rsid w:val="008C6EFF"/>
    <w:rsid w:val="008C7996"/>
    <w:rsid w:val="008D0D10"/>
    <w:rsid w:val="008D0F10"/>
    <w:rsid w:val="008D1FF5"/>
    <w:rsid w:val="008D253E"/>
    <w:rsid w:val="008D3105"/>
    <w:rsid w:val="008D3269"/>
    <w:rsid w:val="008D3B0B"/>
    <w:rsid w:val="008D4566"/>
    <w:rsid w:val="008D4B95"/>
    <w:rsid w:val="008D50E1"/>
    <w:rsid w:val="008D5E75"/>
    <w:rsid w:val="008D61EC"/>
    <w:rsid w:val="008D6C57"/>
    <w:rsid w:val="008D7E97"/>
    <w:rsid w:val="008E0B35"/>
    <w:rsid w:val="008E0B6D"/>
    <w:rsid w:val="008E1F9E"/>
    <w:rsid w:val="008E24BC"/>
    <w:rsid w:val="008E6113"/>
    <w:rsid w:val="008E6F05"/>
    <w:rsid w:val="008E769C"/>
    <w:rsid w:val="008F073C"/>
    <w:rsid w:val="008F0BF6"/>
    <w:rsid w:val="008F16D6"/>
    <w:rsid w:val="008F1A6E"/>
    <w:rsid w:val="008F3DA3"/>
    <w:rsid w:val="008F42FD"/>
    <w:rsid w:val="008F4311"/>
    <w:rsid w:val="008F4D5F"/>
    <w:rsid w:val="008F6E07"/>
    <w:rsid w:val="008F7A31"/>
    <w:rsid w:val="008F7B0F"/>
    <w:rsid w:val="00900B9C"/>
    <w:rsid w:val="00900F83"/>
    <w:rsid w:val="00901375"/>
    <w:rsid w:val="00901419"/>
    <w:rsid w:val="009015C2"/>
    <w:rsid w:val="0090232B"/>
    <w:rsid w:val="009031F9"/>
    <w:rsid w:val="009039CF"/>
    <w:rsid w:val="009048D8"/>
    <w:rsid w:val="00904CB4"/>
    <w:rsid w:val="009054A8"/>
    <w:rsid w:val="00905739"/>
    <w:rsid w:val="00905828"/>
    <w:rsid w:val="0090619C"/>
    <w:rsid w:val="009066E4"/>
    <w:rsid w:val="00906BE2"/>
    <w:rsid w:val="00906D35"/>
    <w:rsid w:val="009070B3"/>
    <w:rsid w:val="0090711A"/>
    <w:rsid w:val="009079AE"/>
    <w:rsid w:val="00907C15"/>
    <w:rsid w:val="00910907"/>
    <w:rsid w:val="00911181"/>
    <w:rsid w:val="009119C7"/>
    <w:rsid w:val="009136C9"/>
    <w:rsid w:val="0091409C"/>
    <w:rsid w:val="00914464"/>
    <w:rsid w:val="00914CBE"/>
    <w:rsid w:val="0091599E"/>
    <w:rsid w:val="00915F25"/>
    <w:rsid w:val="009168B2"/>
    <w:rsid w:val="009169A9"/>
    <w:rsid w:val="00917DA7"/>
    <w:rsid w:val="009207CB"/>
    <w:rsid w:val="00920E04"/>
    <w:rsid w:val="00921BC6"/>
    <w:rsid w:val="00922B87"/>
    <w:rsid w:val="009233ED"/>
    <w:rsid w:val="009240D5"/>
    <w:rsid w:val="009244CF"/>
    <w:rsid w:val="0092638E"/>
    <w:rsid w:val="009266B3"/>
    <w:rsid w:val="0092688F"/>
    <w:rsid w:val="00927C4E"/>
    <w:rsid w:val="00927D2D"/>
    <w:rsid w:val="009303E6"/>
    <w:rsid w:val="00930F07"/>
    <w:rsid w:val="00931468"/>
    <w:rsid w:val="009317B5"/>
    <w:rsid w:val="0093318E"/>
    <w:rsid w:val="009333A0"/>
    <w:rsid w:val="0093596F"/>
    <w:rsid w:val="00935A07"/>
    <w:rsid w:val="00935EE4"/>
    <w:rsid w:val="009360D1"/>
    <w:rsid w:val="00936E2B"/>
    <w:rsid w:val="00936F37"/>
    <w:rsid w:val="00937FAD"/>
    <w:rsid w:val="009407D4"/>
    <w:rsid w:val="00940FEA"/>
    <w:rsid w:val="0094149D"/>
    <w:rsid w:val="00941574"/>
    <w:rsid w:val="00941E5A"/>
    <w:rsid w:val="009429A3"/>
    <w:rsid w:val="009435BE"/>
    <w:rsid w:val="00943A49"/>
    <w:rsid w:val="00945008"/>
    <w:rsid w:val="0094512D"/>
    <w:rsid w:val="00945467"/>
    <w:rsid w:val="0094571E"/>
    <w:rsid w:val="00945B41"/>
    <w:rsid w:val="00954353"/>
    <w:rsid w:val="0095444D"/>
    <w:rsid w:val="0095586E"/>
    <w:rsid w:val="00961096"/>
    <w:rsid w:val="009612C9"/>
    <w:rsid w:val="00961392"/>
    <w:rsid w:val="00962749"/>
    <w:rsid w:val="00965146"/>
    <w:rsid w:val="009658C4"/>
    <w:rsid w:val="00965A38"/>
    <w:rsid w:val="00965E03"/>
    <w:rsid w:val="00965F3F"/>
    <w:rsid w:val="00966EFD"/>
    <w:rsid w:val="00967004"/>
    <w:rsid w:val="00967F03"/>
    <w:rsid w:val="00970650"/>
    <w:rsid w:val="009712EF"/>
    <w:rsid w:val="00971FB9"/>
    <w:rsid w:val="00973B4B"/>
    <w:rsid w:val="00973E42"/>
    <w:rsid w:val="00974826"/>
    <w:rsid w:val="00976219"/>
    <w:rsid w:val="0097672A"/>
    <w:rsid w:val="00976A7B"/>
    <w:rsid w:val="0097737A"/>
    <w:rsid w:val="009773C2"/>
    <w:rsid w:val="00980F87"/>
    <w:rsid w:val="00983AD5"/>
    <w:rsid w:val="00983E76"/>
    <w:rsid w:val="00986B58"/>
    <w:rsid w:val="00987303"/>
    <w:rsid w:val="00987C51"/>
    <w:rsid w:val="00991527"/>
    <w:rsid w:val="00992D85"/>
    <w:rsid w:val="00992DBC"/>
    <w:rsid w:val="0099385C"/>
    <w:rsid w:val="0099589F"/>
    <w:rsid w:val="0099674E"/>
    <w:rsid w:val="00997100"/>
    <w:rsid w:val="009971CA"/>
    <w:rsid w:val="0099732D"/>
    <w:rsid w:val="009A06EE"/>
    <w:rsid w:val="009A1ADA"/>
    <w:rsid w:val="009A1D98"/>
    <w:rsid w:val="009A2BD4"/>
    <w:rsid w:val="009A30F7"/>
    <w:rsid w:val="009A38DA"/>
    <w:rsid w:val="009A4FFB"/>
    <w:rsid w:val="009A5DA3"/>
    <w:rsid w:val="009A5F2A"/>
    <w:rsid w:val="009A6E3F"/>
    <w:rsid w:val="009A70FE"/>
    <w:rsid w:val="009A732D"/>
    <w:rsid w:val="009B0695"/>
    <w:rsid w:val="009B09C6"/>
    <w:rsid w:val="009B160C"/>
    <w:rsid w:val="009B28ED"/>
    <w:rsid w:val="009B4132"/>
    <w:rsid w:val="009B512F"/>
    <w:rsid w:val="009B529B"/>
    <w:rsid w:val="009B6CD1"/>
    <w:rsid w:val="009B7435"/>
    <w:rsid w:val="009B74E6"/>
    <w:rsid w:val="009C0308"/>
    <w:rsid w:val="009C04E5"/>
    <w:rsid w:val="009C23C3"/>
    <w:rsid w:val="009C267D"/>
    <w:rsid w:val="009C2D32"/>
    <w:rsid w:val="009C2F6C"/>
    <w:rsid w:val="009C2FD2"/>
    <w:rsid w:val="009C3DD1"/>
    <w:rsid w:val="009C470C"/>
    <w:rsid w:val="009C47FA"/>
    <w:rsid w:val="009C47FB"/>
    <w:rsid w:val="009C4E73"/>
    <w:rsid w:val="009C6354"/>
    <w:rsid w:val="009C660E"/>
    <w:rsid w:val="009C6709"/>
    <w:rsid w:val="009D1287"/>
    <w:rsid w:val="009D3486"/>
    <w:rsid w:val="009D48C2"/>
    <w:rsid w:val="009D6D5D"/>
    <w:rsid w:val="009D6E9E"/>
    <w:rsid w:val="009D733C"/>
    <w:rsid w:val="009D745F"/>
    <w:rsid w:val="009E04DD"/>
    <w:rsid w:val="009E0D8F"/>
    <w:rsid w:val="009E13CF"/>
    <w:rsid w:val="009E1536"/>
    <w:rsid w:val="009E164C"/>
    <w:rsid w:val="009E2B0D"/>
    <w:rsid w:val="009E3495"/>
    <w:rsid w:val="009E4549"/>
    <w:rsid w:val="009E478D"/>
    <w:rsid w:val="009E5A27"/>
    <w:rsid w:val="009E5B65"/>
    <w:rsid w:val="009E6A45"/>
    <w:rsid w:val="009E7B05"/>
    <w:rsid w:val="009F0809"/>
    <w:rsid w:val="009F339E"/>
    <w:rsid w:val="009F390C"/>
    <w:rsid w:val="009F43C1"/>
    <w:rsid w:val="009F4F4F"/>
    <w:rsid w:val="009F4F50"/>
    <w:rsid w:val="009F4FE4"/>
    <w:rsid w:val="009F529F"/>
    <w:rsid w:val="009F55CF"/>
    <w:rsid w:val="009F5CE8"/>
    <w:rsid w:val="009F6404"/>
    <w:rsid w:val="009F7635"/>
    <w:rsid w:val="00A009AF"/>
    <w:rsid w:val="00A0461D"/>
    <w:rsid w:val="00A04FC6"/>
    <w:rsid w:val="00A052FD"/>
    <w:rsid w:val="00A05F83"/>
    <w:rsid w:val="00A060C1"/>
    <w:rsid w:val="00A06E72"/>
    <w:rsid w:val="00A07306"/>
    <w:rsid w:val="00A1075A"/>
    <w:rsid w:val="00A10C74"/>
    <w:rsid w:val="00A10E12"/>
    <w:rsid w:val="00A11218"/>
    <w:rsid w:val="00A1151B"/>
    <w:rsid w:val="00A117C9"/>
    <w:rsid w:val="00A12310"/>
    <w:rsid w:val="00A1244A"/>
    <w:rsid w:val="00A12AD5"/>
    <w:rsid w:val="00A12C62"/>
    <w:rsid w:val="00A14623"/>
    <w:rsid w:val="00A14D77"/>
    <w:rsid w:val="00A151C6"/>
    <w:rsid w:val="00A164A7"/>
    <w:rsid w:val="00A16B38"/>
    <w:rsid w:val="00A17264"/>
    <w:rsid w:val="00A209F2"/>
    <w:rsid w:val="00A216DB"/>
    <w:rsid w:val="00A24248"/>
    <w:rsid w:val="00A24283"/>
    <w:rsid w:val="00A248DF"/>
    <w:rsid w:val="00A25504"/>
    <w:rsid w:val="00A257A8"/>
    <w:rsid w:val="00A2604E"/>
    <w:rsid w:val="00A2617F"/>
    <w:rsid w:val="00A2723A"/>
    <w:rsid w:val="00A27776"/>
    <w:rsid w:val="00A301EB"/>
    <w:rsid w:val="00A3070E"/>
    <w:rsid w:val="00A309E4"/>
    <w:rsid w:val="00A32040"/>
    <w:rsid w:val="00A325DF"/>
    <w:rsid w:val="00A32903"/>
    <w:rsid w:val="00A32D2F"/>
    <w:rsid w:val="00A358BF"/>
    <w:rsid w:val="00A35C62"/>
    <w:rsid w:val="00A362D9"/>
    <w:rsid w:val="00A40B97"/>
    <w:rsid w:val="00A43290"/>
    <w:rsid w:val="00A437BA"/>
    <w:rsid w:val="00A44F08"/>
    <w:rsid w:val="00A45315"/>
    <w:rsid w:val="00A4735C"/>
    <w:rsid w:val="00A4769D"/>
    <w:rsid w:val="00A47BEE"/>
    <w:rsid w:val="00A5039C"/>
    <w:rsid w:val="00A50FBD"/>
    <w:rsid w:val="00A517FC"/>
    <w:rsid w:val="00A52017"/>
    <w:rsid w:val="00A5254E"/>
    <w:rsid w:val="00A53639"/>
    <w:rsid w:val="00A53E0A"/>
    <w:rsid w:val="00A54AA3"/>
    <w:rsid w:val="00A54ADF"/>
    <w:rsid w:val="00A54E20"/>
    <w:rsid w:val="00A567AD"/>
    <w:rsid w:val="00A568C0"/>
    <w:rsid w:val="00A57984"/>
    <w:rsid w:val="00A600FF"/>
    <w:rsid w:val="00A61190"/>
    <w:rsid w:val="00A613E4"/>
    <w:rsid w:val="00A61EF8"/>
    <w:rsid w:val="00A62E7C"/>
    <w:rsid w:val="00A63340"/>
    <w:rsid w:val="00A639F4"/>
    <w:rsid w:val="00A64B59"/>
    <w:rsid w:val="00A65778"/>
    <w:rsid w:val="00A6598A"/>
    <w:rsid w:val="00A65A65"/>
    <w:rsid w:val="00A6620A"/>
    <w:rsid w:val="00A662D3"/>
    <w:rsid w:val="00A66C35"/>
    <w:rsid w:val="00A70779"/>
    <w:rsid w:val="00A70A23"/>
    <w:rsid w:val="00A70E1D"/>
    <w:rsid w:val="00A71512"/>
    <w:rsid w:val="00A720BF"/>
    <w:rsid w:val="00A73E6D"/>
    <w:rsid w:val="00A74209"/>
    <w:rsid w:val="00A744E2"/>
    <w:rsid w:val="00A75147"/>
    <w:rsid w:val="00A75390"/>
    <w:rsid w:val="00A75407"/>
    <w:rsid w:val="00A75A67"/>
    <w:rsid w:val="00A75E7D"/>
    <w:rsid w:val="00A75F43"/>
    <w:rsid w:val="00A762B7"/>
    <w:rsid w:val="00A76707"/>
    <w:rsid w:val="00A77617"/>
    <w:rsid w:val="00A77935"/>
    <w:rsid w:val="00A80147"/>
    <w:rsid w:val="00A80299"/>
    <w:rsid w:val="00A81955"/>
    <w:rsid w:val="00A81CD2"/>
    <w:rsid w:val="00A8329D"/>
    <w:rsid w:val="00A83B10"/>
    <w:rsid w:val="00A85A2F"/>
    <w:rsid w:val="00A87788"/>
    <w:rsid w:val="00A87A38"/>
    <w:rsid w:val="00A87D6B"/>
    <w:rsid w:val="00A906F0"/>
    <w:rsid w:val="00A9075E"/>
    <w:rsid w:val="00A9078C"/>
    <w:rsid w:val="00A921B7"/>
    <w:rsid w:val="00A9233A"/>
    <w:rsid w:val="00A9591C"/>
    <w:rsid w:val="00A95BA2"/>
    <w:rsid w:val="00A95BFE"/>
    <w:rsid w:val="00A9687D"/>
    <w:rsid w:val="00AA0BB5"/>
    <w:rsid w:val="00AA160F"/>
    <w:rsid w:val="00AA1D6E"/>
    <w:rsid w:val="00AA23DB"/>
    <w:rsid w:val="00AA2979"/>
    <w:rsid w:val="00AA2BA6"/>
    <w:rsid w:val="00AA2CCB"/>
    <w:rsid w:val="00AA31D6"/>
    <w:rsid w:val="00AA331A"/>
    <w:rsid w:val="00AA3BC4"/>
    <w:rsid w:val="00AA3DE4"/>
    <w:rsid w:val="00AA46FA"/>
    <w:rsid w:val="00AA4DAB"/>
    <w:rsid w:val="00AA4DC1"/>
    <w:rsid w:val="00AA4FB2"/>
    <w:rsid w:val="00AA56EE"/>
    <w:rsid w:val="00AA6A46"/>
    <w:rsid w:val="00AA6A72"/>
    <w:rsid w:val="00AB013F"/>
    <w:rsid w:val="00AB055B"/>
    <w:rsid w:val="00AB08F3"/>
    <w:rsid w:val="00AB0F19"/>
    <w:rsid w:val="00AB3AE9"/>
    <w:rsid w:val="00AB414F"/>
    <w:rsid w:val="00AB4E0B"/>
    <w:rsid w:val="00AB5260"/>
    <w:rsid w:val="00AB53FA"/>
    <w:rsid w:val="00AB567C"/>
    <w:rsid w:val="00AB5A8C"/>
    <w:rsid w:val="00AB6B68"/>
    <w:rsid w:val="00AB71F1"/>
    <w:rsid w:val="00AC050C"/>
    <w:rsid w:val="00AC0A17"/>
    <w:rsid w:val="00AC23A1"/>
    <w:rsid w:val="00AC27E7"/>
    <w:rsid w:val="00AC3FDA"/>
    <w:rsid w:val="00AC6459"/>
    <w:rsid w:val="00AC6D25"/>
    <w:rsid w:val="00AC7531"/>
    <w:rsid w:val="00AC7E03"/>
    <w:rsid w:val="00AD04D4"/>
    <w:rsid w:val="00AD11D5"/>
    <w:rsid w:val="00AD1A2E"/>
    <w:rsid w:val="00AD1D2A"/>
    <w:rsid w:val="00AD252F"/>
    <w:rsid w:val="00AD3EC3"/>
    <w:rsid w:val="00AD41C2"/>
    <w:rsid w:val="00AD44BB"/>
    <w:rsid w:val="00AD4721"/>
    <w:rsid w:val="00AD4BB7"/>
    <w:rsid w:val="00AD5B3E"/>
    <w:rsid w:val="00AD5BD3"/>
    <w:rsid w:val="00AD63CE"/>
    <w:rsid w:val="00AD6A0D"/>
    <w:rsid w:val="00AE0101"/>
    <w:rsid w:val="00AE03EE"/>
    <w:rsid w:val="00AE1F8E"/>
    <w:rsid w:val="00AE210D"/>
    <w:rsid w:val="00AE2959"/>
    <w:rsid w:val="00AE2E9D"/>
    <w:rsid w:val="00AE3913"/>
    <w:rsid w:val="00AE4073"/>
    <w:rsid w:val="00AE703B"/>
    <w:rsid w:val="00AE7BBC"/>
    <w:rsid w:val="00AF05E4"/>
    <w:rsid w:val="00AF0897"/>
    <w:rsid w:val="00AF0B9E"/>
    <w:rsid w:val="00AF2258"/>
    <w:rsid w:val="00AF26A5"/>
    <w:rsid w:val="00AF2876"/>
    <w:rsid w:val="00AF29E2"/>
    <w:rsid w:val="00AF3727"/>
    <w:rsid w:val="00AF3B03"/>
    <w:rsid w:val="00AF3EF8"/>
    <w:rsid w:val="00AF6258"/>
    <w:rsid w:val="00AF6695"/>
    <w:rsid w:val="00AF680F"/>
    <w:rsid w:val="00AF6956"/>
    <w:rsid w:val="00AF7121"/>
    <w:rsid w:val="00B048DF"/>
    <w:rsid w:val="00B04F51"/>
    <w:rsid w:val="00B05F82"/>
    <w:rsid w:val="00B064FA"/>
    <w:rsid w:val="00B07793"/>
    <w:rsid w:val="00B078CD"/>
    <w:rsid w:val="00B10093"/>
    <w:rsid w:val="00B119E2"/>
    <w:rsid w:val="00B119F5"/>
    <w:rsid w:val="00B126D2"/>
    <w:rsid w:val="00B128C3"/>
    <w:rsid w:val="00B12AEE"/>
    <w:rsid w:val="00B13DD3"/>
    <w:rsid w:val="00B144B4"/>
    <w:rsid w:val="00B14761"/>
    <w:rsid w:val="00B151FD"/>
    <w:rsid w:val="00B15327"/>
    <w:rsid w:val="00B154AD"/>
    <w:rsid w:val="00B16A11"/>
    <w:rsid w:val="00B17779"/>
    <w:rsid w:val="00B2009D"/>
    <w:rsid w:val="00B2011B"/>
    <w:rsid w:val="00B209CE"/>
    <w:rsid w:val="00B20AB0"/>
    <w:rsid w:val="00B20BF8"/>
    <w:rsid w:val="00B20F09"/>
    <w:rsid w:val="00B2148A"/>
    <w:rsid w:val="00B214D5"/>
    <w:rsid w:val="00B22595"/>
    <w:rsid w:val="00B230DB"/>
    <w:rsid w:val="00B234F3"/>
    <w:rsid w:val="00B2356D"/>
    <w:rsid w:val="00B23BBC"/>
    <w:rsid w:val="00B252B1"/>
    <w:rsid w:val="00B2744B"/>
    <w:rsid w:val="00B27527"/>
    <w:rsid w:val="00B30044"/>
    <w:rsid w:val="00B302B7"/>
    <w:rsid w:val="00B317CE"/>
    <w:rsid w:val="00B31EEB"/>
    <w:rsid w:val="00B3256E"/>
    <w:rsid w:val="00B32E14"/>
    <w:rsid w:val="00B339B3"/>
    <w:rsid w:val="00B339B6"/>
    <w:rsid w:val="00B33F94"/>
    <w:rsid w:val="00B3466B"/>
    <w:rsid w:val="00B35498"/>
    <w:rsid w:val="00B35584"/>
    <w:rsid w:val="00B35D59"/>
    <w:rsid w:val="00B36459"/>
    <w:rsid w:val="00B37A11"/>
    <w:rsid w:val="00B37FA9"/>
    <w:rsid w:val="00B40636"/>
    <w:rsid w:val="00B40C9F"/>
    <w:rsid w:val="00B4101B"/>
    <w:rsid w:val="00B421E7"/>
    <w:rsid w:val="00B42AC4"/>
    <w:rsid w:val="00B4339A"/>
    <w:rsid w:val="00B44131"/>
    <w:rsid w:val="00B44BC3"/>
    <w:rsid w:val="00B46E83"/>
    <w:rsid w:val="00B47661"/>
    <w:rsid w:val="00B50A14"/>
    <w:rsid w:val="00B521D8"/>
    <w:rsid w:val="00B54776"/>
    <w:rsid w:val="00B54EF7"/>
    <w:rsid w:val="00B55421"/>
    <w:rsid w:val="00B55514"/>
    <w:rsid w:val="00B558FB"/>
    <w:rsid w:val="00B55AC7"/>
    <w:rsid w:val="00B55D5E"/>
    <w:rsid w:val="00B56FA1"/>
    <w:rsid w:val="00B609A2"/>
    <w:rsid w:val="00B61681"/>
    <w:rsid w:val="00B61EED"/>
    <w:rsid w:val="00B62119"/>
    <w:rsid w:val="00B62702"/>
    <w:rsid w:val="00B637E8"/>
    <w:rsid w:val="00B6383B"/>
    <w:rsid w:val="00B64E82"/>
    <w:rsid w:val="00B6580F"/>
    <w:rsid w:val="00B65987"/>
    <w:rsid w:val="00B65CD7"/>
    <w:rsid w:val="00B6613F"/>
    <w:rsid w:val="00B6699F"/>
    <w:rsid w:val="00B66BE6"/>
    <w:rsid w:val="00B670CA"/>
    <w:rsid w:val="00B67DEA"/>
    <w:rsid w:val="00B7073B"/>
    <w:rsid w:val="00B70B05"/>
    <w:rsid w:val="00B713F5"/>
    <w:rsid w:val="00B72269"/>
    <w:rsid w:val="00B7489D"/>
    <w:rsid w:val="00B75DA0"/>
    <w:rsid w:val="00B75DB2"/>
    <w:rsid w:val="00B7640C"/>
    <w:rsid w:val="00B769C3"/>
    <w:rsid w:val="00B76CA5"/>
    <w:rsid w:val="00B77090"/>
    <w:rsid w:val="00B7776A"/>
    <w:rsid w:val="00B77D4A"/>
    <w:rsid w:val="00B80226"/>
    <w:rsid w:val="00B80680"/>
    <w:rsid w:val="00B81238"/>
    <w:rsid w:val="00B81717"/>
    <w:rsid w:val="00B81C67"/>
    <w:rsid w:val="00B832FE"/>
    <w:rsid w:val="00B83C86"/>
    <w:rsid w:val="00B842DD"/>
    <w:rsid w:val="00B84CBC"/>
    <w:rsid w:val="00B84E70"/>
    <w:rsid w:val="00B853CC"/>
    <w:rsid w:val="00B86630"/>
    <w:rsid w:val="00B86797"/>
    <w:rsid w:val="00B8686B"/>
    <w:rsid w:val="00B86B4D"/>
    <w:rsid w:val="00B87EC7"/>
    <w:rsid w:val="00B90267"/>
    <w:rsid w:val="00B90825"/>
    <w:rsid w:val="00B90B6B"/>
    <w:rsid w:val="00B91DF2"/>
    <w:rsid w:val="00B924A8"/>
    <w:rsid w:val="00B92745"/>
    <w:rsid w:val="00B94E58"/>
    <w:rsid w:val="00B9555B"/>
    <w:rsid w:val="00B95640"/>
    <w:rsid w:val="00B95A6C"/>
    <w:rsid w:val="00B9678B"/>
    <w:rsid w:val="00B968DB"/>
    <w:rsid w:val="00B97149"/>
    <w:rsid w:val="00B97594"/>
    <w:rsid w:val="00B97D2C"/>
    <w:rsid w:val="00BA1347"/>
    <w:rsid w:val="00BA192E"/>
    <w:rsid w:val="00BA208B"/>
    <w:rsid w:val="00BA3912"/>
    <w:rsid w:val="00BA466A"/>
    <w:rsid w:val="00BA5238"/>
    <w:rsid w:val="00BA56A2"/>
    <w:rsid w:val="00BA5932"/>
    <w:rsid w:val="00BA627C"/>
    <w:rsid w:val="00BA71A3"/>
    <w:rsid w:val="00BA736C"/>
    <w:rsid w:val="00BA751F"/>
    <w:rsid w:val="00BA7D48"/>
    <w:rsid w:val="00BA7FB3"/>
    <w:rsid w:val="00BB016E"/>
    <w:rsid w:val="00BB1791"/>
    <w:rsid w:val="00BB408B"/>
    <w:rsid w:val="00BB53E8"/>
    <w:rsid w:val="00BB5B7F"/>
    <w:rsid w:val="00BB622D"/>
    <w:rsid w:val="00BB7C33"/>
    <w:rsid w:val="00BB7FE4"/>
    <w:rsid w:val="00BC1A77"/>
    <w:rsid w:val="00BC2B76"/>
    <w:rsid w:val="00BC371B"/>
    <w:rsid w:val="00BC39D6"/>
    <w:rsid w:val="00BC4B5C"/>
    <w:rsid w:val="00BC5387"/>
    <w:rsid w:val="00BC5FB6"/>
    <w:rsid w:val="00BC62E0"/>
    <w:rsid w:val="00BC6A5B"/>
    <w:rsid w:val="00BC6D60"/>
    <w:rsid w:val="00BD1E54"/>
    <w:rsid w:val="00BD2372"/>
    <w:rsid w:val="00BD3B4A"/>
    <w:rsid w:val="00BD4003"/>
    <w:rsid w:val="00BD4319"/>
    <w:rsid w:val="00BD544B"/>
    <w:rsid w:val="00BD5770"/>
    <w:rsid w:val="00BD5E67"/>
    <w:rsid w:val="00BD63EA"/>
    <w:rsid w:val="00BD6CA3"/>
    <w:rsid w:val="00BD6DE3"/>
    <w:rsid w:val="00BD7649"/>
    <w:rsid w:val="00BD7657"/>
    <w:rsid w:val="00BE06EB"/>
    <w:rsid w:val="00BE0C45"/>
    <w:rsid w:val="00BE0EF2"/>
    <w:rsid w:val="00BE1CF5"/>
    <w:rsid w:val="00BE24B6"/>
    <w:rsid w:val="00BE2794"/>
    <w:rsid w:val="00BE57FF"/>
    <w:rsid w:val="00BE6BB0"/>
    <w:rsid w:val="00BE7097"/>
    <w:rsid w:val="00BE778E"/>
    <w:rsid w:val="00BE77A9"/>
    <w:rsid w:val="00BF0C8B"/>
    <w:rsid w:val="00BF0E03"/>
    <w:rsid w:val="00BF2965"/>
    <w:rsid w:val="00BF41F6"/>
    <w:rsid w:val="00BF483C"/>
    <w:rsid w:val="00BF4CE5"/>
    <w:rsid w:val="00BF4DA9"/>
    <w:rsid w:val="00BF554D"/>
    <w:rsid w:val="00BF59FA"/>
    <w:rsid w:val="00BF5C42"/>
    <w:rsid w:val="00BF5E75"/>
    <w:rsid w:val="00BF6B22"/>
    <w:rsid w:val="00C0021E"/>
    <w:rsid w:val="00C00315"/>
    <w:rsid w:val="00C00327"/>
    <w:rsid w:val="00C031D9"/>
    <w:rsid w:val="00C03DF7"/>
    <w:rsid w:val="00C043EB"/>
    <w:rsid w:val="00C04A33"/>
    <w:rsid w:val="00C04EF4"/>
    <w:rsid w:val="00C0513B"/>
    <w:rsid w:val="00C0519D"/>
    <w:rsid w:val="00C0532F"/>
    <w:rsid w:val="00C057AD"/>
    <w:rsid w:val="00C05A56"/>
    <w:rsid w:val="00C07191"/>
    <w:rsid w:val="00C10114"/>
    <w:rsid w:val="00C11C83"/>
    <w:rsid w:val="00C120CD"/>
    <w:rsid w:val="00C121D3"/>
    <w:rsid w:val="00C12362"/>
    <w:rsid w:val="00C132C1"/>
    <w:rsid w:val="00C13344"/>
    <w:rsid w:val="00C135BB"/>
    <w:rsid w:val="00C1361A"/>
    <w:rsid w:val="00C15820"/>
    <w:rsid w:val="00C15BC1"/>
    <w:rsid w:val="00C15E10"/>
    <w:rsid w:val="00C1612E"/>
    <w:rsid w:val="00C1678D"/>
    <w:rsid w:val="00C171FB"/>
    <w:rsid w:val="00C175BB"/>
    <w:rsid w:val="00C20DF4"/>
    <w:rsid w:val="00C21E9B"/>
    <w:rsid w:val="00C22327"/>
    <w:rsid w:val="00C22551"/>
    <w:rsid w:val="00C2306C"/>
    <w:rsid w:val="00C236CF"/>
    <w:rsid w:val="00C23736"/>
    <w:rsid w:val="00C237D6"/>
    <w:rsid w:val="00C251D1"/>
    <w:rsid w:val="00C25658"/>
    <w:rsid w:val="00C25C05"/>
    <w:rsid w:val="00C2664C"/>
    <w:rsid w:val="00C268F5"/>
    <w:rsid w:val="00C272BF"/>
    <w:rsid w:val="00C30D93"/>
    <w:rsid w:val="00C32700"/>
    <w:rsid w:val="00C3270F"/>
    <w:rsid w:val="00C32E3E"/>
    <w:rsid w:val="00C33642"/>
    <w:rsid w:val="00C34669"/>
    <w:rsid w:val="00C34995"/>
    <w:rsid w:val="00C34BD7"/>
    <w:rsid w:val="00C34C4C"/>
    <w:rsid w:val="00C356A1"/>
    <w:rsid w:val="00C37779"/>
    <w:rsid w:val="00C37AD4"/>
    <w:rsid w:val="00C402DC"/>
    <w:rsid w:val="00C40CD3"/>
    <w:rsid w:val="00C41458"/>
    <w:rsid w:val="00C41BF4"/>
    <w:rsid w:val="00C4276E"/>
    <w:rsid w:val="00C42C0A"/>
    <w:rsid w:val="00C42EA5"/>
    <w:rsid w:val="00C43004"/>
    <w:rsid w:val="00C432BF"/>
    <w:rsid w:val="00C446F8"/>
    <w:rsid w:val="00C45C54"/>
    <w:rsid w:val="00C46474"/>
    <w:rsid w:val="00C4685D"/>
    <w:rsid w:val="00C476E4"/>
    <w:rsid w:val="00C502CC"/>
    <w:rsid w:val="00C51231"/>
    <w:rsid w:val="00C52EFA"/>
    <w:rsid w:val="00C53D78"/>
    <w:rsid w:val="00C54A49"/>
    <w:rsid w:val="00C57231"/>
    <w:rsid w:val="00C5772A"/>
    <w:rsid w:val="00C57E00"/>
    <w:rsid w:val="00C60265"/>
    <w:rsid w:val="00C60597"/>
    <w:rsid w:val="00C617A8"/>
    <w:rsid w:val="00C62521"/>
    <w:rsid w:val="00C633B8"/>
    <w:rsid w:val="00C6562D"/>
    <w:rsid w:val="00C65847"/>
    <w:rsid w:val="00C65F6D"/>
    <w:rsid w:val="00C662DF"/>
    <w:rsid w:val="00C666D1"/>
    <w:rsid w:val="00C66A5F"/>
    <w:rsid w:val="00C710FE"/>
    <w:rsid w:val="00C727F4"/>
    <w:rsid w:val="00C72846"/>
    <w:rsid w:val="00C729B0"/>
    <w:rsid w:val="00C72C64"/>
    <w:rsid w:val="00C72CA1"/>
    <w:rsid w:val="00C73314"/>
    <w:rsid w:val="00C733D6"/>
    <w:rsid w:val="00C73582"/>
    <w:rsid w:val="00C741DA"/>
    <w:rsid w:val="00C747FA"/>
    <w:rsid w:val="00C7541E"/>
    <w:rsid w:val="00C75CAD"/>
    <w:rsid w:val="00C76777"/>
    <w:rsid w:val="00C76B62"/>
    <w:rsid w:val="00C779DB"/>
    <w:rsid w:val="00C77C60"/>
    <w:rsid w:val="00C818D4"/>
    <w:rsid w:val="00C81938"/>
    <w:rsid w:val="00C8197D"/>
    <w:rsid w:val="00C81D78"/>
    <w:rsid w:val="00C81F07"/>
    <w:rsid w:val="00C828CE"/>
    <w:rsid w:val="00C838D1"/>
    <w:rsid w:val="00C83AA7"/>
    <w:rsid w:val="00C83FF7"/>
    <w:rsid w:val="00C842DA"/>
    <w:rsid w:val="00C843D4"/>
    <w:rsid w:val="00C84788"/>
    <w:rsid w:val="00C85504"/>
    <w:rsid w:val="00C85B5A"/>
    <w:rsid w:val="00C866E9"/>
    <w:rsid w:val="00C878C6"/>
    <w:rsid w:val="00C87BEF"/>
    <w:rsid w:val="00C90B44"/>
    <w:rsid w:val="00C90CC1"/>
    <w:rsid w:val="00C912CA"/>
    <w:rsid w:val="00C9147D"/>
    <w:rsid w:val="00C92318"/>
    <w:rsid w:val="00C923E6"/>
    <w:rsid w:val="00C92F55"/>
    <w:rsid w:val="00C938AF"/>
    <w:rsid w:val="00C94BE0"/>
    <w:rsid w:val="00C9714B"/>
    <w:rsid w:val="00C9767B"/>
    <w:rsid w:val="00CA003E"/>
    <w:rsid w:val="00CA0326"/>
    <w:rsid w:val="00CA2033"/>
    <w:rsid w:val="00CA2869"/>
    <w:rsid w:val="00CA324F"/>
    <w:rsid w:val="00CA3759"/>
    <w:rsid w:val="00CA3783"/>
    <w:rsid w:val="00CA42DC"/>
    <w:rsid w:val="00CA5452"/>
    <w:rsid w:val="00CA662A"/>
    <w:rsid w:val="00CA6DCA"/>
    <w:rsid w:val="00CA6E14"/>
    <w:rsid w:val="00CA7255"/>
    <w:rsid w:val="00CA7583"/>
    <w:rsid w:val="00CA7A60"/>
    <w:rsid w:val="00CB007C"/>
    <w:rsid w:val="00CB1851"/>
    <w:rsid w:val="00CB1B4C"/>
    <w:rsid w:val="00CB2327"/>
    <w:rsid w:val="00CB2695"/>
    <w:rsid w:val="00CB2A46"/>
    <w:rsid w:val="00CB3571"/>
    <w:rsid w:val="00CB38A4"/>
    <w:rsid w:val="00CB44F9"/>
    <w:rsid w:val="00CB488A"/>
    <w:rsid w:val="00CB57DB"/>
    <w:rsid w:val="00CB624D"/>
    <w:rsid w:val="00CB7E1E"/>
    <w:rsid w:val="00CC0411"/>
    <w:rsid w:val="00CC07FC"/>
    <w:rsid w:val="00CC14F6"/>
    <w:rsid w:val="00CC190C"/>
    <w:rsid w:val="00CC1C7E"/>
    <w:rsid w:val="00CC2D2B"/>
    <w:rsid w:val="00CC2D50"/>
    <w:rsid w:val="00CC2D6C"/>
    <w:rsid w:val="00CC3B10"/>
    <w:rsid w:val="00CC5B23"/>
    <w:rsid w:val="00CC6303"/>
    <w:rsid w:val="00CC73DF"/>
    <w:rsid w:val="00CD08C8"/>
    <w:rsid w:val="00CD10E0"/>
    <w:rsid w:val="00CD120C"/>
    <w:rsid w:val="00CD12A0"/>
    <w:rsid w:val="00CD1B1D"/>
    <w:rsid w:val="00CD24AF"/>
    <w:rsid w:val="00CD3B39"/>
    <w:rsid w:val="00CD4B8F"/>
    <w:rsid w:val="00CD520E"/>
    <w:rsid w:val="00CD52F5"/>
    <w:rsid w:val="00CD5ECB"/>
    <w:rsid w:val="00CD6BB2"/>
    <w:rsid w:val="00CE257D"/>
    <w:rsid w:val="00CE32EF"/>
    <w:rsid w:val="00CE36CA"/>
    <w:rsid w:val="00CE3F5F"/>
    <w:rsid w:val="00CE402C"/>
    <w:rsid w:val="00CE4152"/>
    <w:rsid w:val="00CE4535"/>
    <w:rsid w:val="00CE4957"/>
    <w:rsid w:val="00CE4E13"/>
    <w:rsid w:val="00CE74DC"/>
    <w:rsid w:val="00CE7B31"/>
    <w:rsid w:val="00CF0DDC"/>
    <w:rsid w:val="00CF1B69"/>
    <w:rsid w:val="00CF2933"/>
    <w:rsid w:val="00CF2D81"/>
    <w:rsid w:val="00CF3BB6"/>
    <w:rsid w:val="00CF4670"/>
    <w:rsid w:val="00CF5A18"/>
    <w:rsid w:val="00CF6151"/>
    <w:rsid w:val="00CF6992"/>
    <w:rsid w:val="00CF6BF8"/>
    <w:rsid w:val="00CF7427"/>
    <w:rsid w:val="00D00801"/>
    <w:rsid w:val="00D00BE5"/>
    <w:rsid w:val="00D00EEA"/>
    <w:rsid w:val="00D01454"/>
    <w:rsid w:val="00D01DD1"/>
    <w:rsid w:val="00D01E72"/>
    <w:rsid w:val="00D02507"/>
    <w:rsid w:val="00D02E00"/>
    <w:rsid w:val="00D03655"/>
    <w:rsid w:val="00D06005"/>
    <w:rsid w:val="00D067C7"/>
    <w:rsid w:val="00D06865"/>
    <w:rsid w:val="00D07824"/>
    <w:rsid w:val="00D1032A"/>
    <w:rsid w:val="00D1095C"/>
    <w:rsid w:val="00D1230E"/>
    <w:rsid w:val="00D126AD"/>
    <w:rsid w:val="00D14279"/>
    <w:rsid w:val="00D14778"/>
    <w:rsid w:val="00D14A75"/>
    <w:rsid w:val="00D14DE9"/>
    <w:rsid w:val="00D16775"/>
    <w:rsid w:val="00D168E3"/>
    <w:rsid w:val="00D17311"/>
    <w:rsid w:val="00D177F3"/>
    <w:rsid w:val="00D17837"/>
    <w:rsid w:val="00D20F15"/>
    <w:rsid w:val="00D21FD1"/>
    <w:rsid w:val="00D226CD"/>
    <w:rsid w:val="00D23D0A"/>
    <w:rsid w:val="00D25975"/>
    <w:rsid w:val="00D2628D"/>
    <w:rsid w:val="00D26B12"/>
    <w:rsid w:val="00D271E7"/>
    <w:rsid w:val="00D2746E"/>
    <w:rsid w:val="00D27A18"/>
    <w:rsid w:val="00D27FC9"/>
    <w:rsid w:val="00D3058F"/>
    <w:rsid w:val="00D30692"/>
    <w:rsid w:val="00D31251"/>
    <w:rsid w:val="00D31AC1"/>
    <w:rsid w:val="00D31E7B"/>
    <w:rsid w:val="00D3218F"/>
    <w:rsid w:val="00D34AAE"/>
    <w:rsid w:val="00D354FC"/>
    <w:rsid w:val="00D3607B"/>
    <w:rsid w:val="00D36CC4"/>
    <w:rsid w:val="00D37676"/>
    <w:rsid w:val="00D40152"/>
    <w:rsid w:val="00D429D0"/>
    <w:rsid w:val="00D42C1C"/>
    <w:rsid w:val="00D42F6B"/>
    <w:rsid w:val="00D440A0"/>
    <w:rsid w:val="00D446FF"/>
    <w:rsid w:val="00D4471F"/>
    <w:rsid w:val="00D44765"/>
    <w:rsid w:val="00D44DC6"/>
    <w:rsid w:val="00D462C1"/>
    <w:rsid w:val="00D46FC0"/>
    <w:rsid w:val="00D50A27"/>
    <w:rsid w:val="00D51501"/>
    <w:rsid w:val="00D524A2"/>
    <w:rsid w:val="00D5323F"/>
    <w:rsid w:val="00D53B61"/>
    <w:rsid w:val="00D54B52"/>
    <w:rsid w:val="00D55042"/>
    <w:rsid w:val="00D558B0"/>
    <w:rsid w:val="00D55DB1"/>
    <w:rsid w:val="00D568BE"/>
    <w:rsid w:val="00D57B61"/>
    <w:rsid w:val="00D609A9"/>
    <w:rsid w:val="00D636FA"/>
    <w:rsid w:val="00D66549"/>
    <w:rsid w:val="00D66A59"/>
    <w:rsid w:val="00D6789C"/>
    <w:rsid w:val="00D67D67"/>
    <w:rsid w:val="00D70288"/>
    <w:rsid w:val="00D70676"/>
    <w:rsid w:val="00D70CE0"/>
    <w:rsid w:val="00D71040"/>
    <w:rsid w:val="00D71525"/>
    <w:rsid w:val="00D721D7"/>
    <w:rsid w:val="00D7223C"/>
    <w:rsid w:val="00D72CAB"/>
    <w:rsid w:val="00D72D55"/>
    <w:rsid w:val="00D74285"/>
    <w:rsid w:val="00D76752"/>
    <w:rsid w:val="00D80BDB"/>
    <w:rsid w:val="00D8191E"/>
    <w:rsid w:val="00D81C1F"/>
    <w:rsid w:val="00D82202"/>
    <w:rsid w:val="00D82D0E"/>
    <w:rsid w:val="00D84D63"/>
    <w:rsid w:val="00D85C87"/>
    <w:rsid w:val="00D877F2"/>
    <w:rsid w:val="00D90CFF"/>
    <w:rsid w:val="00D9125D"/>
    <w:rsid w:val="00D9277D"/>
    <w:rsid w:val="00D92920"/>
    <w:rsid w:val="00D94B5D"/>
    <w:rsid w:val="00D951B2"/>
    <w:rsid w:val="00D95330"/>
    <w:rsid w:val="00D95EB9"/>
    <w:rsid w:val="00D96650"/>
    <w:rsid w:val="00D96843"/>
    <w:rsid w:val="00D96FEB"/>
    <w:rsid w:val="00DA07DF"/>
    <w:rsid w:val="00DA096B"/>
    <w:rsid w:val="00DA12C5"/>
    <w:rsid w:val="00DA2315"/>
    <w:rsid w:val="00DA2513"/>
    <w:rsid w:val="00DA27DD"/>
    <w:rsid w:val="00DA38E6"/>
    <w:rsid w:val="00DA4130"/>
    <w:rsid w:val="00DA43F6"/>
    <w:rsid w:val="00DA484F"/>
    <w:rsid w:val="00DA5DA1"/>
    <w:rsid w:val="00DA63F1"/>
    <w:rsid w:val="00DA7573"/>
    <w:rsid w:val="00DA7A2D"/>
    <w:rsid w:val="00DB04FD"/>
    <w:rsid w:val="00DB1CBE"/>
    <w:rsid w:val="00DB20BA"/>
    <w:rsid w:val="00DB288D"/>
    <w:rsid w:val="00DB29CC"/>
    <w:rsid w:val="00DB2DE5"/>
    <w:rsid w:val="00DB32D5"/>
    <w:rsid w:val="00DB3971"/>
    <w:rsid w:val="00DB4401"/>
    <w:rsid w:val="00DB7D2F"/>
    <w:rsid w:val="00DC02DC"/>
    <w:rsid w:val="00DC07B9"/>
    <w:rsid w:val="00DC0DBC"/>
    <w:rsid w:val="00DC10C6"/>
    <w:rsid w:val="00DC1244"/>
    <w:rsid w:val="00DC152A"/>
    <w:rsid w:val="00DC16B0"/>
    <w:rsid w:val="00DC1AE2"/>
    <w:rsid w:val="00DC2911"/>
    <w:rsid w:val="00DC2A1A"/>
    <w:rsid w:val="00DC47D5"/>
    <w:rsid w:val="00DC5315"/>
    <w:rsid w:val="00DC586C"/>
    <w:rsid w:val="00DC60BD"/>
    <w:rsid w:val="00DC63B7"/>
    <w:rsid w:val="00DC6966"/>
    <w:rsid w:val="00DC6C11"/>
    <w:rsid w:val="00DC7013"/>
    <w:rsid w:val="00DC7B90"/>
    <w:rsid w:val="00DD0F03"/>
    <w:rsid w:val="00DD177D"/>
    <w:rsid w:val="00DD19DA"/>
    <w:rsid w:val="00DD1F11"/>
    <w:rsid w:val="00DD3342"/>
    <w:rsid w:val="00DD4568"/>
    <w:rsid w:val="00DD5CE0"/>
    <w:rsid w:val="00DD6063"/>
    <w:rsid w:val="00DD66D7"/>
    <w:rsid w:val="00DD7073"/>
    <w:rsid w:val="00DD727A"/>
    <w:rsid w:val="00DE02E6"/>
    <w:rsid w:val="00DE0BA9"/>
    <w:rsid w:val="00DE0C5C"/>
    <w:rsid w:val="00DE0F49"/>
    <w:rsid w:val="00DE2E23"/>
    <w:rsid w:val="00DE4000"/>
    <w:rsid w:val="00DE4D77"/>
    <w:rsid w:val="00DE5443"/>
    <w:rsid w:val="00DE5B60"/>
    <w:rsid w:val="00DE628F"/>
    <w:rsid w:val="00DE630A"/>
    <w:rsid w:val="00DE7E30"/>
    <w:rsid w:val="00DF03BC"/>
    <w:rsid w:val="00DF11B4"/>
    <w:rsid w:val="00DF21DA"/>
    <w:rsid w:val="00DF27AB"/>
    <w:rsid w:val="00DF2899"/>
    <w:rsid w:val="00DF2A2B"/>
    <w:rsid w:val="00DF4478"/>
    <w:rsid w:val="00DF45A4"/>
    <w:rsid w:val="00DF4791"/>
    <w:rsid w:val="00DF4CFE"/>
    <w:rsid w:val="00DF4E5E"/>
    <w:rsid w:val="00DF64EF"/>
    <w:rsid w:val="00DF6CB8"/>
    <w:rsid w:val="00DF7A06"/>
    <w:rsid w:val="00DF7BF3"/>
    <w:rsid w:val="00E003FE"/>
    <w:rsid w:val="00E01660"/>
    <w:rsid w:val="00E01B8A"/>
    <w:rsid w:val="00E05578"/>
    <w:rsid w:val="00E05BCB"/>
    <w:rsid w:val="00E068B2"/>
    <w:rsid w:val="00E06A46"/>
    <w:rsid w:val="00E07ABA"/>
    <w:rsid w:val="00E1279F"/>
    <w:rsid w:val="00E1285B"/>
    <w:rsid w:val="00E130E5"/>
    <w:rsid w:val="00E13573"/>
    <w:rsid w:val="00E13AC6"/>
    <w:rsid w:val="00E1421D"/>
    <w:rsid w:val="00E146AE"/>
    <w:rsid w:val="00E14B81"/>
    <w:rsid w:val="00E15441"/>
    <w:rsid w:val="00E15C2D"/>
    <w:rsid w:val="00E16B22"/>
    <w:rsid w:val="00E17ECC"/>
    <w:rsid w:val="00E17FCF"/>
    <w:rsid w:val="00E20D58"/>
    <w:rsid w:val="00E211D0"/>
    <w:rsid w:val="00E2149F"/>
    <w:rsid w:val="00E22282"/>
    <w:rsid w:val="00E23760"/>
    <w:rsid w:val="00E253D5"/>
    <w:rsid w:val="00E26784"/>
    <w:rsid w:val="00E26E39"/>
    <w:rsid w:val="00E27FE9"/>
    <w:rsid w:val="00E30206"/>
    <w:rsid w:val="00E30BEE"/>
    <w:rsid w:val="00E30F93"/>
    <w:rsid w:val="00E31381"/>
    <w:rsid w:val="00E3205A"/>
    <w:rsid w:val="00E32C20"/>
    <w:rsid w:val="00E333E4"/>
    <w:rsid w:val="00E33A60"/>
    <w:rsid w:val="00E34C3B"/>
    <w:rsid w:val="00E35330"/>
    <w:rsid w:val="00E36EC9"/>
    <w:rsid w:val="00E37738"/>
    <w:rsid w:val="00E37BBD"/>
    <w:rsid w:val="00E40DA8"/>
    <w:rsid w:val="00E41AB1"/>
    <w:rsid w:val="00E41D49"/>
    <w:rsid w:val="00E41FA9"/>
    <w:rsid w:val="00E4254B"/>
    <w:rsid w:val="00E4297A"/>
    <w:rsid w:val="00E42A02"/>
    <w:rsid w:val="00E435F5"/>
    <w:rsid w:val="00E43BD9"/>
    <w:rsid w:val="00E462CF"/>
    <w:rsid w:val="00E46684"/>
    <w:rsid w:val="00E4681F"/>
    <w:rsid w:val="00E47D0C"/>
    <w:rsid w:val="00E47F18"/>
    <w:rsid w:val="00E50BE8"/>
    <w:rsid w:val="00E52019"/>
    <w:rsid w:val="00E52537"/>
    <w:rsid w:val="00E54473"/>
    <w:rsid w:val="00E5457C"/>
    <w:rsid w:val="00E5478F"/>
    <w:rsid w:val="00E549B5"/>
    <w:rsid w:val="00E54DF2"/>
    <w:rsid w:val="00E559F8"/>
    <w:rsid w:val="00E57CE7"/>
    <w:rsid w:val="00E57FC9"/>
    <w:rsid w:val="00E609D2"/>
    <w:rsid w:val="00E6216C"/>
    <w:rsid w:val="00E62261"/>
    <w:rsid w:val="00E62271"/>
    <w:rsid w:val="00E63016"/>
    <w:rsid w:val="00E63F98"/>
    <w:rsid w:val="00E640E4"/>
    <w:rsid w:val="00E65473"/>
    <w:rsid w:val="00E6547A"/>
    <w:rsid w:val="00E6763F"/>
    <w:rsid w:val="00E72CBB"/>
    <w:rsid w:val="00E734FF"/>
    <w:rsid w:val="00E7386F"/>
    <w:rsid w:val="00E73EEB"/>
    <w:rsid w:val="00E743C9"/>
    <w:rsid w:val="00E745A4"/>
    <w:rsid w:val="00E74A9E"/>
    <w:rsid w:val="00E75497"/>
    <w:rsid w:val="00E812C1"/>
    <w:rsid w:val="00E832BA"/>
    <w:rsid w:val="00E83ECC"/>
    <w:rsid w:val="00E8492C"/>
    <w:rsid w:val="00E85190"/>
    <w:rsid w:val="00E85D7F"/>
    <w:rsid w:val="00E865B2"/>
    <w:rsid w:val="00E86B7A"/>
    <w:rsid w:val="00E87DEC"/>
    <w:rsid w:val="00E908FC"/>
    <w:rsid w:val="00E90D47"/>
    <w:rsid w:val="00E91B7B"/>
    <w:rsid w:val="00E929E6"/>
    <w:rsid w:val="00E92A9C"/>
    <w:rsid w:val="00E92E66"/>
    <w:rsid w:val="00E92E9F"/>
    <w:rsid w:val="00E92EBC"/>
    <w:rsid w:val="00E938F6"/>
    <w:rsid w:val="00E950EF"/>
    <w:rsid w:val="00E957DD"/>
    <w:rsid w:val="00E965EE"/>
    <w:rsid w:val="00E96B76"/>
    <w:rsid w:val="00EA0157"/>
    <w:rsid w:val="00EA07B5"/>
    <w:rsid w:val="00EA0D8B"/>
    <w:rsid w:val="00EA2077"/>
    <w:rsid w:val="00EA215D"/>
    <w:rsid w:val="00EA35CC"/>
    <w:rsid w:val="00EA45F2"/>
    <w:rsid w:val="00EA4688"/>
    <w:rsid w:val="00EA72EE"/>
    <w:rsid w:val="00EB00BB"/>
    <w:rsid w:val="00EB048D"/>
    <w:rsid w:val="00EB0677"/>
    <w:rsid w:val="00EB0C4F"/>
    <w:rsid w:val="00EB1382"/>
    <w:rsid w:val="00EB1A69"/>
    <w:rsid w:val="00EB1B74"/>
    <w:rsid w:val="00EB2087"/>
    <w:rsid w:val="00EB4129"/>
    <w:rsid w:val="00EB44C2"/>
    <w:rsid w:val="00EB4506"/>
    <w:rsid w:val="00EB4763"/>
    <w:rsid w:val="00EB4FFC"/>
    <w:rsid w:val="00EB57D8"/>
    <w:rsid w:val="00EB6109"/>
    <w:rsid w:val="00EB6719"/>
    <w:rsid w:val="00EC110C"/>
    <w:rsid w:val="00EC1D52"/>
    <w:rsid w:val="00ED02C5"/>
    <w:rsid w:val="00ED1801"/>
    <w:rsid w:val="00ED251E"/>
    <w:rsid w:val="00ED2DA5"/>
    <w:rsid w:val="00ED3C67"/>
    <w:rsid w:val="00ED3D0B"/>
    <w:rsid w:val="00ED642E"/>
    <w:rsid w:val="00ED65AB"/>
    <w:rsid w:val="00ED6CC9"/>
    <w:rsid w:val="00EE0103"/>
    <w:rsid w:val="00EE1A04"/>
    <w:rsid w:val="00EE2728"/>
    <w:rsid w:val="00EE273C"/>
    <w:rsid w:val="00EE27D9"/>
    <w:rsid w:val="00EE2C17"/>
    <w:rsid w:val="00EE356B"/>
    <w:rsid w:val="00EE35ED"/>
    <w:rsid w:val="00EE3846"/>
    <w:rsid w:val="00EE40F4"/>
    <w:rsid w:val="00EE48B6"/>
    <w:rsid w:val="00EE4ABC"/>
    <w:rsid w:val="00EE582E"/>
    <w:rsid w:val="00EE6A64"/>
    <w:rsid w:val="00EE711F"/>
    <w:rsid w:val="00EF031C"/>
    <w:rsid w:val="00EF08C7"/>
    <w:rsid w:val="00EF18B2"/>
    <w:rsid w:val="00EF1D8D"/>
    <w:rsid w:val="00EF2B81"/>
    <w:rsid w:val="00EF3FF4"/>
    <w:rsid w:val="00EF4613"/>
    <w:rsid w:val="00EF5198"/>
    <w:rsid w:val="00EF599B"/>
    <w:rsid w:val="00EF5EE9"/>
    <w:rsid w:val="00EF7B47"/>
    <w:rsid w:val="00F00B6C"/>
    <w:rsid w:val="00F00C7A"/>
    <w:rsid w:val="00F02101"/>
    <w:rsid w:val="00F06467"/>
    <w:rsid w:val="00F07304"/>
    <w:rsid w:val="00F07550"/>
    <w:rsid w:val="00F10A44"/>
    <w:rsid w:val="00F10AF1"/>
    <w:rsid w:val="00F12366"/>
    <w:rsid w:val="00F12554"/>
    <w:rsid w:val="00F1375C"/>
    <w:rsid w:val="00F1549E"/>
    <w:rsid w:val="00F15FCC"/>
    <w:rsid w:val="00F17037"/>
    <w:rsid w:val="00F170A1"/>
    <w:rsid w:val="00F17B3A"/>
    <w:rsid w:val="00F17B46"/>
    <w:rsid w:val="00F21377"/>
    <w:rsid w:val="00F21574"/>
    <w:rsid w:val="00F21C07"/>
    <w:rsid w:val="00F224EF"/>
    <w:rsid w:val="00F233A0"/>
    <w:rsid w:val="00F237AF"/>
    <w:rsid w:val="00F25809"/>
    <w:rsid w:val="00F26517"/>
    <w:rsid w:val="00F26886"/>
    <w:rsid w:val="00F269E8"/>
    <w:rsid w:val="00F26C55"/>
    <w:rsid w:val="00F305FE"/>
    <w:rsid w:val="00F30AB9"/>
    <w:rsid w:val="00F31EB2"/>
    <w:rsid w:val="00F357C6"/>
    <w:rsid w:val="00F35E30"/>
    <w:rsid w:val="00F36FD0"/>
    <w:rsid w:val="00F37D20"/>
    <w:rsid w:val="00F40148"/>
    <w:rsid w:val="00F40C5B"/>
    <w:rsid w:val="00F414A7"/>
    <w:rsid w:val="00F41FA6"/>
    <w:rsid w:val="00F421D7"/>
    <w:rsid w:val="00F42AD5"/>
    <w:rsid w:val="00F42C66"/>
    <w:rsid w:val="00F42EB6"/>
    <w:rsid w:val="00F437B2"/>
    <w:rsid w:val="00F455B4"/>
    <w:rsid w:val="00F456BB"/>
    <w:rsid w:val="00F46B6E"/>
    <w:rsid w:val="00F47089"/>
    <w:rsid w:val="00F47B4A"/>
    <w:rsid w:val="00F47C5C"/>
    <w:rsid w:val="00F47F44"/>
    <w:rsid w:val="00F508F7"/>
    <w:rsid w:val="00F50C76"/>
    <w:rsid w:val="00F5165F"/>
    <w:rsid w:val="00F518EB"/>
    <w:rsid w:val="00F51BCB"/>
    <w:rsid w:val="00F51EC9"/>
    <w:rsid w:val="00F520AE"/>
    <w:rsid w:val="00F5217E"/>
    <w:rsid w:val="00F52357"/>
    <w:rsid w:val="00F53972"/>
    <w:rsid w:val="00F5433D"/>
    <w:rsid w:val="00F54679"/>
    <w:rsid w:val="00F54BB3"/>
    <w:rsid w:val="00F55BFE"/>
    <w:rsid w:val="00F55C30"/>
    <w:rsid w:val="00F56E98"/>
    <w:rsid w:val="00F577F6"/>
    <w:rsid w:val="00F60386"/>
    <w:rsid w:val="00F619E6"/>
    <w:rsid w:val="00F61C4E"/>
    <w:rsid w:val="00F61F7A"/>
    <w:rsid w:val="00F624E8"/>
    <w:rsid w:val="00F628F0"/>
    <w:rsid w:val="00F63F16"/>
    <w:rsid w:val="00F642B3"/>
    <w:rsid w:val="00F6476A"/>
    <w:rsid w:val="00F64BAD"/>
    <w:rsid w:val="00F65AAE"/>
    <w:rsid w:val="00F66448"/>
    <w:rsid w:val="00F66ACC"/>
    <w:rsid w:val="00F67B0C"/>
    <w:rsid w:val="00F704FB"/>
    <w:rsid w:val="00F70605"/>
    <w:rsid w:val="00F707D0"/>
    <w:rsid w:val="00F71BA9"/>
    <w:rsid w:val="00F72322"/>
    <w:rsid w:val="00F7343C"/>
    <w:rsid w:val="00F7368C"/>
    <w:rsid w:val="00F740C8"/>
    <w:rsid w:val="00F7490A"/>
    <w:rsid w:val="00F75C88"/>
    <w:rsid w:val="00F77BCC"/>
    <w:rsid w:val="00F8041D"/>
    <w:rsid w:val="00F807C8"/>
    <w:rsid w:val="00F81E3A"/>
    <w:rsid w:val="00F848CD"/>
    <w:rsid w:val="00F84B2F"/>
    <w:rsid w:val="00F84FE0"/>
    <w:rsid w:val="00F86B83"/>
    <w:rsid w:val="00F8743B"/>
    <w:rsid w:val="00F87C08"/>
    <w:rsid w:val="00F91800"/>
    <w:rsid w:val="00F91BB7"/>
    <w:rsid w:val="00F953AD"/>
    <w:rsid w:val="00F96C7E"/>
    <w:rsid w:val="00F97111"/>
    <w:rsid w:val="00F974BD"/>
    <w:rsid w:val="00FA0ED5"/>
    <w:rsid w:val="00FA119E"/>
    <w:rsid w:val="00FA2011"/>
    <w:rsid w:val="00FA28AB"/>
    <w:rsid w:val="00FA292E"/>
    <w:rsid w:val="00FA4B0E"/>
    <w:rsid w:val="00FA6F4D"/>
    <w:rsid w:val="00FA6F8E"/>
    <w:rsid w:val="00FA7B18"/>
    <w:rsid w:val="00FB1931"/>
    <w:rsid w:val="00FB1E47"/>
    <w:rsid w:val="00FB2034"/>
    <w:rsid w:val="00FB23FC"/>
    <w:rsid w:val="00FB2922"/>
    <w:rsid w:val="00FB3660"/>
    <w:rsid w:val="00FB68C5"/>
    <w:rsid w:val="00FB68E1"/>
    <w:rsid w:val="00FB6B3D"/>
    <w:rsid w:val="00FB6E20"/>
    <w:rsid w:val="00FB746F"/>
    <w:rsid w:val="00FB76A7"/>
    <w:rsid w:val="00FC15A0"/>
    <w:rsid w:val="00FC16B1"/>
    <w:rsid w:val="00FC2405"/>
    <w:rsid w:val="00FC317C"/>
    <w:rsid w:val="00FC5365"/>
    <w:rsid w:val="00FC53B2"/>
    <w:rsid w:val="00FC559E"/>
    <w:rsid w:val="00FC5682"/>
    <w:rsid w:val="00FC5A10"/>
    <w:rsid w:val="00FC7073"/>
    <w:rsid w:val="00FC7585"/>
    <w:rsid w:val="00FC7811"/>
    <w:rsid w:val="00FC785D"/>
    <w:rsid w:val="00FC7BAD"/>
    <w:rsid w:val="00FD04F7"/>
    <w:rsid w:val="00FD0726"/>
    <w:rsid w:val="00FD0C24"/>
    <w:rsid w:val="00FD1201"/>
    <w:rsid w:val="00FD19EE"/>
    <w:rsid w:val="00FD1CFF"/>
    <w:rsid w:val="00FD327D"/>
    <w:rsid w:val="00FD32BA"/>
    <w:rsid w:val="00FD3B12"/>
    <w:rsid w:val="00FD3D3F"/>
    <w:rsid w:val="00FD3F68"/>
    <w:rsid w:val="00FD4790"/>
    <w:rsid w:val="00FD47CE"/>
    <w:rsid w:val="00FD5416"/>
    <w:rsid w:val="00FD64E5"/>
    <w:rsid w:val="00FD6A78"/>
    <w:rsid w:val="00FD73D0"/>
    <w:rsid w:val="00FD73E2"/>
    <w:rsid w:val="00FD78CC"/>
    <w:rsid w:val="00FE0180"/>
    <w:rsid w:val="00FE02F4"/>
    <w:rsid w:val="00FE097D"/>
    <w:rsid w:val="00FE0D61"/>
    <w:rsid w:val="00FE142D"/>
    <w:rsid w:val="00FE1C4F"/>
    <w:rsid w:val="00FE20FA"/>
    <w:rsid w:val="00FE2B3F"/>
    <w:rsid w:val="00FE2C57"/>
    <w:rsid w:val="00FE4108"/>
    <w:rsid w:val="00FE4631"/>
    <w:rsid w:val="00FE46EA"/>
    <w:rsid w:val="00FE46F7"/>
    <w:rsid w:val="00FE5B99"/>
    <w:rsid w:val="00FE603A"/>
    <w:rsid w:val="00FE70EC"/>
    <w:rsid w:val="00FE7878"/>
    <w:rsid w:val="00FF0A55"/>
    <w:rsid w:val="00FF11D6"/>
    <w:rsid w:val="00FF1AD6"/>
    <w:rsid w:val="00FF1CC7"/>
    <w:rsid w:val="00FF3D32"/>
    <w:rsid w:val="00FF3DC9"/>
    <w:rsid w:val="00FF3DE2"/>
    <w:rsid w:val="00FF42A4"/>
    <w:rsid w:val="00FF4EC5"/>
    <w:rsid w:val="00FF5061"/>
    <w:rsid w:val="00FF5463"/>
    <w:rsid w:val="00FF5B23"/>
    <w:rsid w:val="00FF5EC8"/>
    <w:rsid w:val="00FF6062"/>
    <w:rsid w:val="00FF6FD3"/>
    <w:rsid w:val="5EFB65EF"/>
    <w:rsid w:val="BE1C5003"/>
    <w:rsid w:val="EFDFD27A"/>
    <w:rsid w:val="FBDB21CF"/>
    <w:rsid w:val="FFF904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25" w:afterLines="25" w:line="360" w:lineRule="auto"/>
      <w:ind w:firstLine="200" w:firstLineChars="200"/>
      <w:jc w:val="both"/>
    </w:pPr>
    <w:rPr>
      <w:rFonts w:ascii="Times New Roman" w:hAnsi="Times New Roman" w:eastAsiaTheme="minorEastAsia" w:cstheme="minorBidi"/>
      <w:kern w:val="2"/>
      <w:sz w:val="24"/>
      <w:szCs w:val="28"/>
      <w:lang w:val="en-US" w:eastAsia="zh-CN" w:bidi="ar-SA"/>
    </w:rPr>
  </w:style>
  <w:style w:type="paragraph" w:styleId="2">
    <w:name w:val="heading 1"/>
    <w:basedOn w:val="1"/>
    <w:next w:val="1"/>
    <w:link w:val="41"/>
    <w:qFormat/>
    <w:uiPriority w:val="0"/>
    <w:pPr>
      <w:keepNext/>
      <w:keepLines/>
      <w:numPr>
        <w:ilvl w:val="0"/>
        <w:numId w:val="1"/>
      </w:numPr>
      <w:spacing w:before="78" w:after="78" w:line="480" w:lineRule="auto"/>
      <w:ind w:firstLineChars="0"/>
      <w:jc w:val="left"/>
      <w:outlineLvl w:val="0"/>
    </w:pPr>
    <w:rPr>
      <w:b/>
      <w:bCs/>
      <w:kern w:val="44"/>
      <w:sz w:val="44"/>
      <w:szCs w:val="44"/>
    </w:rPr>
  </w:style>
  <w:style w:type="paragraph" w:styleId="3">
    <w:name w:val="heading 2"/>
    <w:basedOn w:val="1"/>
    <w:next w:val="1"/>
    <w:link w:val="44"/>
    <w:unhideWhenUsed/>
    <w:qFormat/>
    <w:uiPriority w:val="0"/>
    <w:pPr>
      <w:keepNext/>
      <w:keepLines/>
      <w:numPr>
        <w:ilvl w:val="1"/>
        <w:numId w:val="1"/>
      </w:numPr>
      <w:spacing w:before="260" w:after="260" w:line="416" w:lineRule="auto"/>
      <w:ind w:firstLineChars="0"/>
      <w:outlineLvl w:val="1"/>
    </w:pPr>
    <w:rPr>
      <w:rFonts w:asciiTheme="majorHAnsi" w:hAnsiTheme="majorHAnsi" w:eastAsiaTheme="majorEastAsia" w:cstheme="majorBidi"/>
      <w:b/>
      <w:bCs/>
      <w:sz w:val="36"/>
      <w:szCs w:val="32"/>
    </w:rPr>
  </w:style>
  <w:style w:type="paragraph" w:styleId="4">
    <w:name w:val="heading 3"/>
    <w:basedOn w:val="1"/>
    <w:next w:val="1"/>
    <w:link w:val="45"/>
    <w:unhideWhenUsed/>
    <w:qFormat/>
    <w:uiPriority w:val="0"/>
    <w:pPr>
      <w:keepNext/>
      <w:keepLines/>
      <w:numPr>
        <w:ilvl w:val="2"/>
        <w:numId w:val="1"/>
      </w:numPr>
      <w:adjustRightInd w:val="0"/>
      <w:snapToGrid w:val="0"/>
      <w:spacing w:beforeLines="100" w:after="78" w:line="420" w:lineRule="auto"/>
      <w:ind w:firstLineChars="0"/>
      <w:outlineLvl w:val="2"/>
    </w:pPr>
    <w:rPr>
      <w:b/>
      <w:bCs/>
      <w:sz w:val="32"/>
      <w:szCs w:val="32"/>
    </w:rPr>
  </w:style>
  <w:style w:type="paragraph" w:styleId="5">
    <w:name w:val="heading 4"/>
    <w:basedOn w:val="1"/>
    <w:next w:val="1"/>
    <w:link w:val="46"/>
    <w:unhideWhenUsed/>
    <w:qFormat/>
    <w:uiPriority w:val="0"/>
    <w:pPr>
      <w:keepNext/>
      <w:keepLines/>
      <w:numPr>
        <w:ilvl w:val="3"/>
        <w:numId w:val="1"/>
      </w:numPr>
      <w:adjustRightInd w:val="0"/>
      <w:snapToGrid w:val="0"/>
      <w:spacing w:before="78" w:after="78" w:line="377" w:lineRule="auto"/>
      <w:ind w:firstLineChars="0"/>
      <w:outlineLvl w:val="3"/>
    </w:pPr>
    <w:rPr>
      <w:rFonts w:ascii="宋体" w:hAnsi="宋体" w:eastAsiaTheme="majorEastAsia" w:cstheme="majorBidi"/>
      <w:b/>
      <w:bCs/>
    </w:rPr>
  </w:style>
  <w:style w:type="paragraph" w:styleId="6">
    <w:name w:val="heading 5"/>
    <w:basedOn w:val="1"/>
    <w:next w:val="1"/>
    <w:link w:val="47"/>
    <w:unhideWhenUsed/>
    <w:qFormat/>
    <w:uiPriority w:val="0"/>
    <w:pPr>
      <w:keepNext/>
      <w:keepLines/>
      <w:numPr>
        <w:ilvl w:val="4"/>
        <w:numId w:val="1"/>
      </w:numPr>
      <w:tabs>
        <w:tab w:val="left" w:pos="142"/>
      </w:tabs>
      <w:spacing w:before="78" w:after="78"/>
      <w:ind w:firstLineChars="0"/>
      <w:outlineLvl w:val="4"/>
    </w:pPr>
    <w:rPr>
      <w:b/>
      <w:bCs/>
    </w:rPr>
  </w:style>
  <w:style w:type="paragraph" w:styleId="7">
    <w:name w:val="heading 6"/>
    <w:basedOn w:val="1"/>
    <w:next w:val="1"/>
    <w:link w:val="48"/>
    <w:unhideWhenUsed/>
    <w:qFormat/>
    <w:uiPriority w:val="9"/>
    <w:pPr>
      <w:keepNext/>
      <w:keepLines/>
      <w:numPr>
        <w:ilvl w:val="0"/>
        <w:numId w:val="2"/>
      </w:numPr>
      <w:spacing w:before="78" w:after="78" w:line="319" w:lineRule="auto"/>
      <w:ind w:firstLine="0" w:firstLineChars="0"/>
      <w:outlineLvl w:val="5"/>
    </w:pPr>
    <w:rPr>
      <w:rFonts w:asciiTheme="majorHAnsi" w:hAnsiTheme="majorHAnsi" w:eastAsiaTheme="majorEastAsia" w:cstheme="majorBidi"/>
      <w:b/>
      <w:bCs/>
      <w:szCs w:val="24"/>
    </w:rPr>
  </w:style>
  <w:style w:type="paragraph" w:styleId="8">
    <w:name w:val="heading 7"/>
    <w:basedOn w:val="1"/>
    <w:next w:val="1"/>
    <w:link w:val="49"/>
    <w:unhideWhenUsed/>
    <w:qFormat/>
    <w:uiPriority w:val="0"/>
    <w:pPr>
      <w:keepNext/>
      <w:keepLines/>
      <w:numPr>
        <w:ilvl w:val="6"/>
        <w:numId w:val="1"/>
      </w:numPr>
      <w:spacing w:before="240" w:after="64" w:line="320" w:lineRule="auto"/>
      <w:ind w:firstLineChars="0"/>
      <w:outlineLvl w:val="6"/>
    </w:pPr>
    <w:rPr>
      <w:b/>
      <w:bCs/>
      <w:szCs w:val="24"/>
    </w:rPr>
  </w:style>
  <w:style w:type="paragraph" w:styleId="9">
    <w:name w:val="heading 8"/>
    <w:basedOn w:val="1"/>
    <w:next w:val="1"/>
    <w:link w:val="50"/>
    <w:unhideWhenUsed/>
    <w:qFormat/>
    <w:uiPriority w:val="0"/>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0">
    <w:name w:val="heading 9"/>
    <w:basedOn w:val="1"/>
    <w:next w:val="1"/>
    <w:link w:val="51"/>
    <w:unhideWhenUsed/>
    <w:qFormat/>
    <w:uiPriority w:val="0"/>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sz w:val="21"/>
      <w:szCs w:val="22"/>
    </w:rPr>
  </w:style>
  <w:style w:type="paragraph" w:styleId="12">
    <w:name w:val="Normal Indent"/>
    <w:basedOn w:val="1"/>
    <w:link w:val="69"/>
    <w:qFormat/>
    <w:uiPriority w:val="0"/>
    <w:pPr>
      <w:ind w:firstLine="420"/>
    </w:pPr>
    <w:rPr>
      <w:rFonts w:eastAsia="仿宋_GB2312" w:cs="Times New Roman"/>
      <w:szCs w:val="24"/>
    </w:rPr>
  </w:style>
  <w:style w:type="paragraph" w:styleId="13">
    <w:name w:val="caption"/>
    <w:basedOn w:val="14"/>
    <w:next w:val="1"/>
    <w:link w:val="71"/>
    <w:qFormat/>
    <w:uiPriority w:val="0"/>
    <w:rPr>
      <w:rFonts w:ascii="Arial" w:hAnsi="Arial" w:eastAsia="黑体"/>
      <w:sz w:val="21"/>
    </w:rPr>
  </w:style>
  <w:style w:type="paragraph" w:customStyle="1" w:styleId="14">
    <w:name w:val="C503-正文格式"/>
    <w:basedOn w:val="1"/>
    <w:link w:val="77"/>
    <w:qFormat/>
    <w:uiPriority w:val="0"/>
    <w:pPr>
      <w:adjustRightInd w:val="0"/>
      <w:snapToGrid w:val="0"/>
      <w:spacing w:afterLines="50" w:line="276" w:lineRule="auto"/>
      <w:ind w:firstLine="480"/>
    </w:pPr>
    <w:rPr>
      <w:rFonts w:asciiTheme="minorHAnsi" w:hAnsiTheme="minorHAnsi"/>
      <w:szCs w:val="22"/>
    </w:rPr>
  </w:style>
  <w:style w:type="paragraph" w:styleId="15">
    <w:name w:val="Document Map"/>
    <w:basedOn w:val="1"/>
    <w:link w:val="74"/>
    <w:semiHidden/>
    <w:unhideWhenUsed/>
    <w:qFormat/>
    <w:uiPriority w:val="99"/>
    <w:rPr>
      <w:rFonts w:ascii="宋体" w:eastAsia="宋体"/>
      <w:sz w:val="18"/>
      <w:szCs w:val="18"/>
    </w:rPr>
  </w:style>
  <w:style w:type="paragraph" w:styleId="16">
    <w:name w:val="annotation text"/>
    <w:basedOn w:val="1"/>
    <w:link w:val="57"/>
    <w:unhideWhenUsed/>
    <w:qFormat/>
    <w:uiPriority w:val="99"/>
    <w:pPr>
      <w:jc w:val="left"/>
    </w:pPr>
  </w:style>
  <w:style w:type="paragraph" w:styleId="17">
    <w:name w:val="Body Text"/>
    <w:basedOn w:val="1"/>
    <w:link w:val="88"/>
    <w:semiHidden/>
    <w:unhideWhenUsed/>
    <w:qFormat/>
    <w:uiPriority w:val="99"/>
    <w:pPr>
      <w:spacing w:after="120"/>
    </w:pPr>
  </w:style>
  <w:style w:type="paragraph" w:styleId="18">
    <w:name w:val="Body Text Indent"/>
    <w:basedOn w:val="1"/>
    <w:link w:val="137"/>
    <w:unhideWhenUsed/>
    <w:qFormat/>
    <w:uiPriority w:val="99"/>
    <w:pPr>
      <w:spacing w:beforeLines="0" w:afterLines="0" w:line="240" w:lineRule="auto"/>
      <w:ind w:left="420" w:leftChars="200" w:firstLine="0" w:firstLineChars="0"/>
    </w:pPr>
    <w:rPr>
      <w:rFonts w:eastAsia="宋体" w:cs="Times New Roman"/>
      <w:sz w:val="21"/>
      <w:szCs w:val="24"/>
    </w:rPr>
  </w:style>
  <w:style w:type="paragraph" w:styleId="19">
    <w:name w:val="toc 5"/>
    <w:basedOn w:val="1"/>
    <w:next w:val="1"/>
    <w:unhideWhenUsed/>
    <w:qFormat/>
    <w:uiPriority w:val="39"/>
    <w:pPr>
      <w:spacing w:line="240" w:lineRule="auto"/>
      <w:ind w:left="1680" w:leftChars="800" w:firstLine="0" w:firstLineChars="0"/>
    </w:pPr>
    <w:rPr>
      <w:rFonts w:asciiTheme="minorHAnsi" w:hAnsiTheme="minorHAnsi"/>
      <w:sz w:val="21"/>
      <w:szCs w:val="22"/>
    </w:rPr>
  </w:style>
  <w:style w:type="paragraph" w:styleId="20">
    <w:name w:val="toc 3"/>
    <w:basedOn w:val="1"/>
    <w:next w:val="1"/>
    <w:unhideWhenUsed/>
    <w:qFormat/>
    <w:uiPriority w:val="39"/>
    <w:pPr>
      <w:tabs>
        <w:tab w:val="right" w:leader="dot" w:pos="8395"/>
      </w:tabs>
      <w:spacing w:before="81" w:after="81" w:line="240" w:lineRule="auto"/>
      <w:ind w:left="960" w:leftChars="400" w:firstLine="480"/>
    </w:pPr>
  </w:style>
  <w:style w:type="paragraph" w:styleId="21">
    <w:name w:val="toc 8"/>
    <w:basedOn w:val="1"/>
    <w:next w:val="1"/>
    <w:unhideWhenUsed/>
    <w:qFormat/>
    <w:uiPriority w:val="39"/>
    <w:pPr>
      <w:spacing w:line="240" w:lineRule="auto"/>
      <w:ind w:left="2940" w:leftChars="1400" w:firstLine="0" w:firstLineChars="0"/>
    </w:pPr>
    <w:rPr>
      <w:rFonts w:asciiTheme="minorHAnsi" w:hAnsiTheme="minorHAnsi"/>
      <w:sz w:val="21"/>
      <w:szCs w:val="22"/>
    </w:rPr>
  </w:style>
  <w:style w:type="paragraph" w:styleId="22">
    <w:name w:val="Balloon Text"/>
    <w:basedOn w:val="1"/>
    <w:link w:val="53"/>
    <w:semiHidden/>
    <w:unhideWhenUsed/>
    <w:qFormat/>
    <w:uiPriority w:val="99"/>
    <w:rPr>
      <w:sz w:val="18"/>
      <w:szCs w:val="18"/>
    </w:rPr>
  </w:style>
  <w:style w:type="paragraph" w:styleId="23">
    <w:name w:val="footer"/>
    <w:basedOn w:val="1"/>
    <w:link w:val="56"/>
    <w:unhideWhenUsed/>
    <w:qFormat/>
    <w:uiPriority w:val="99"/>
    <w:pPr>
      <w:tabs>
        <w:tab w:val="center" w:pos="4153"/>
        <w:tab w:val="right" w:pos="8306"/>
      </w:tabs>
      <w:snapToGrid w:val="0"/>
      <w:jc w:val="left"/>
    </w:pPr>
    <w:rPr>
      <w:sz w:val="18"/>
      <w:szCs w:val="18"/>
    </w:rPr>
  </w:style>
  <w:style w:type="paragraph" w:styleId="24">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tabs>
        <w:tab w:val="right" w:leader="dot" w:pos="8395"/>
      </w:tabs>
      <w:spacing w:before="81" w:after="81" w:line="240" w:lineRule="auto"/>
      <w:ind w:firstLine="480"/>
    </w:pPr>
  </w:style>
  <w:style w:type="paragraph" w:styleId="26">
    <w:name w:val="toc 4"/>
    <w:basedOn w:val="1"/>
    <w:next w:val="1"/>
    <w:unhideWhenUsed/>
    <w:qFormat/>
    <w:uiPriority w:val="39"/>
    <w:pPr>
      <w:spacing w:line="240" w:lineRule="auto"/>
      <w:ind w:left="1260" w:leftChars="600" w:firstLine="0" w:firstLineChars="0"/>
    </w:pPr>
    <w:rPr>
      <w:rFonts w:asciiTheme="minorHAnsi" w:hAnsiTheme="minorHAnsi"/>
      <w:sz w:val="21"/>
      <w:szCs w:val="22"/>
    </w:rPr>
  </w:style>
  <w:style w:type="paragraph" w:styleId="27">
    <w:name w:val="toc 6"/>
    <w:basedOn w:val="1"/>
    <w:next w:val="1"/>
    <w:unhideWhenUsed/>
    <w:qFormat/>
    <w:uiPriority w:val="39"/>
    <w:pPr>
      <w:spacing w:line="240" w:lineRule="auto"/>
      <w:ind w:left="2100" w:leftChars="1000" w:firstLine="0" w:firstLineChars="0"/>
    </w:pPr>
    <w:rPr>
      <w:rFonts w:asciiTheme="minorHAnsi" w:hAnsiTheme="minorHAnsi"/>
      <w:sz w:val="21"/>
      <w:szCs w:val="22"/>
    </w:rPr>
  </w:style>
  <w:style w:type="paragraph" w:styleId="28">
    <w:name w:val="toc 2"/>
    <w:basedOn w:val="1"/>
    <w:next w:val="1"/>
    <w:unhideWhenUsed/>
    <w:qFormat/>
    <w:uiPriority w:val="39"/>
    <w:pPr>
      <w:tabs>
        <w:tab w:val="right" w:leader="dot" w:pos="8395"/>
      </w:tabs>
      <w:spacing w:before="81" w:after="81" w:line="240" w:lineRule="auto"/>
      <w:ind w:left="480" w:leftChars="200" w:firstLine="480"/>
    </w:pPr>
  </w:style>
  <w:style w:type="paragraph" w:styleId="29">
    <w:name w:val="toc 9"/>
    <w:basedOn w:val="1"/>
    <w:next w:val="1"/>
    <w:unhideWhenUsed/>
    <w:qFormat/>
    <w:uiPriority w:val="39"/>
    <w:pPr>
      <w:spacing w:line="240" w:lineRule="auto"/>
      <w:ind w:left="3360" w:leftChars="1600" w:firstLine="0" w:firstLineChars="0"/>
    </w:pPr>
    <w:rPr>
      <w:rFonts w:asciiTheme="minorHAnsi" w:hAnsiTheme="minorHAnsi"/>
      <w:sz w:val="21"/>
      <w:szCs w:val="22"/>
    </w:rPr>
  </w:style>
  <w:style w:type="paragraph" w:styleId="30">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styleId="31">
    <w:name w:val="Title"/>
    <w:basedOn w:val="1"/>
    <w:next w:val="1"/>
    <w:link w:val="42"/>
    <w:qFormat/>
    <w:uiPriority w:val="10"/>
    <w:pPr>
      <w:spacing w:before="240" w:after="60"/>
      <w:jc w:val="center"/>
      <w:outlineLvl w:val="0"/>
    </w:pPr>
    <w:rPr>
      <w:rFonts w:eastAsia="宋体" w:asciiTheme="majorHAnsi" w:hAnsiTheme="majorHAnsi" w:cstheme="majorBidi"/>
      <w:b/>
      <w:bCs/>
      <w:sz w:val="32"/>
      <w:szCs w:val="32"/>
    </w:rPr>
  </w:style>
  <w:style w:type="paragraph" w:styleId="32">
    <w:name w:val="annotation subject"/>
    <w:basedOn w:val="16"/>
    <w:next w:val="16"/>
    <w:link w:val="58"/>
    <w:semiHidden/>
    <w:unhideWhenUsed/>
    <w:qFormat/>
    <w:uiPriority w:val="99"/>
    <w:rPr>
      <w:b/>
      <w:bCs/>
    </w:rPr>
  </w:style>
  <w:style w:type="paragraph" w:styleId="33">
    <w:name w:val="Body Text First Indent"/>
    <w:basedOn w:val="17"/>
    <w:link w:val="89"/>
    <w:qFormat/>
    <w:uiPriority w:val="99"/>
    <w:pPr>
      <w:ind w:firstLine="420" w:firstLineChars="100"/>
    </w:pPr>
    <w:rPr>
      <w:rFonts w:eastAsia="宋体" w:cs="Times New Roman"/>
      <w:szCs w:val="20"/>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22"/>
    <w:rPr>
      <w:b/>
      <w:bCs/>
    </w:rPr>
  </w:style>
  <w:style w:type="character" w:styleId="38">
    <w:name w:val="FollowedHyperlink"/>
    <w:basedOn w:val="36"/>
    <w:semiHidden/>
    <w:unhideWhenUsed/>
    <w:qFormat/>
    <w:uiPriority w:val="99"/>
    <w:rPr>
      <w:color w:val="800080"/>
      <w:u w:val="single"/>
    </w:rPr>
  </w:style>
  <w:style w:type="character" w:styleId="39">
    <w:name w:val="Hyperlink"/>
    <w:basedOn w:val="36"/>
    <w:unhideWhenUsed/>
    <w:qFormat/>
    <w:uiPriority w:val="99"/>
    <w:rPr>
      <w:color w:val="0000FF" w:themeColor="hyperlink"/>
      <w:u w:val="single"/>
      <w14:textFill>
        <w14:solidFill>
          <w14:schemeClr w14:val="hlink"/>
        </w14:solidFill>
      </w14:textFill>
    </w:rPr>
  </w:style>
  <w:style w:type="character" w:styleId="40">
    <w:name w:val="annotation reference"/>
    <w:basedOn w:val="36"/>
    <w:unhideWhenUsed/>
    <w:qFormat/>
    <w:uiPriority w:val="99"/>
    <w:rPr>
      <w:sz w:val="21"/>
      <w:szCs w:val="21"/>
    </w:rPr>
  </w:style>
  <w:style w:type="character" w:customStyle="1" w:styleId="41">
    <w:name w:val="标题 1 字符"/>
    <w:basedOn w:val="36"/>
    <w:link w:val="2"/>
    <w:qFormat/>
    <w:uiPriority w:val="0"/>
    <w:rPr>
      <w:rFonts w:ascii="Times New Roman" w:hAnsi="Times New Roman"/>
      <w:b/>
      <w:bCs/>
      <w:kern w:val="44"/>
      <w:sz w:val="44"/>
      <w:szCs w:val="44"/>
    </w:rPr>
  </w:style>
  <w:style w:type="character" w:customStyle="1" w:styleId="42">
    <w:name w:val="标题 字符"/>
    <w:basedOn w:val="36"/>
    <w:link w:val="31"/>
    <w:qFormat/>
    <w:uiPriority w:val="10"/>
    <w:rPr>
      <w:rFonts w:eastAsia="宋体" w:asciiTheme="majorHAnsi" w:hAnsiTheme="majorHAnsi" w:cstheme="majorBidi"/>
      <w:b/>
      <w:bCs/>
      <w:sz w:val="32"/>
      <w:szCs w:val="32"/>
    </w:rPr>
  </w:style>
  <w:style w:type="paragraph" w:styleId="43">
    <w:name w:val="List Paragraph"/>
    <w:basedOn w:val="1"/>
    <w:link w:val="73"/>
    <w:qFormat/>
    <w:uiPriority w:val="1"/>
    <w:pPr>
      <w:numPr>
        <w:ilvl w:val="0"/>
        <w:numId w:val="3"/>
      </w:numPr>
      <w:ind w:firstLine="0" w:firstLineChars="0"/>
    </w:pPr>
    <w:rPr>
      <w:rFonts w:ascii="宋体" w:hAnsi="宋体"/>
    </w:rPr>
  </w:style>
  <w:style w:type="character" w:customStyle="1" w:styleId="44">
    <w:name w:val="标题 2 字符"/>
    <w:basedOn w:val="36"/>
    <w:link w:val="3"/>
    <w:qFormat/>
    <w:uiPriority w:val="0"/>
    <w:rPr>
      <w:rFonts w:asciiTheme="majorHAnsi" w:hAnsiTheme="majorHAnsi" w:eastAsiaTheme="majorEastAsia" w:cstheme="majorBidi"/>
      <w:b/>
      <w:bCs/>
      <w:sz w:val="36"/>
      <w:szCs w:val="32"/>
    </w:rPr>
  </w:style>
  <w:style w:type="character" w:customStyle="1" w:styleId="45">
    <w:name w:val="标题 3 字符"/>
    <w:basedOn w:val="36"/>
    <w:link w:val="4"/>
    <w:qFormat/>
    <w:uiPriority w:val="0"/>
    <w:rPr>
      <w:rFonts w:ascii="Times New Roman" w:hAnsi="Times New Roman"/>
      <w:b/>
      <w:bCs/>
      <w:sz w:val="32"/>
      <w:szCs w:val="32"/>
    </w:rPr>
  </w:style>
  <w:style w:type="character" w:customStyle="1" w:styleId="46">
    <w:name w:val="标题 4 字符"/>
    <w:basedOn w:val="36"/>
    <w:link w:val="5"/>
    <w:qFormat/>
    <w:uiPriority w:val="0"/>
    <w:rPr>
      <w:rFonts w:ascii="宋体" w:hAnsi="宋体" w:eastAsiaTheme="majorEastAsia" w:cstheme="majorBidi"/>
      <w:b/>
      <w:bCs/>
      <w:sz w:val="24"/>
      <w:szCs w:val="28"/>
    </w:rPr>
  </w:style>
  <w:style w:type="character" w:customStyle="1" w:styleId="47">
    <w:name w:val="标题 5 字符"/>
    <w:basedOn w:val="36"/>
    <w:link w:val="6"/>
    <w:qFormat/>
    <w:uiPriority w:val="0"/>
    <w:rPr>
      <w:rFonts w:ascii="Times New Roman" w:hAnsi="Times New Roman"/>
      <w:b/>
      <w:bCs/>
      <w:sz w:val="24"/>
      <w:szCs w:val="28"/>
    </w:rPr>
  </w:style>
  <w:style w:type="character" w:customStyle="1" w:styleId="48">
    <w:name w:val="标题 6 字符"/>
    <w:basedOn w:val="36"/>
    <w:link w:val="7"/>
    <w:qFormat/>
    <w:uiPriority w:val="9"/>
    <w:rPr>
      <w:rFonts w:asciiTheme="majorHAnsi" w:hAnsiTheme="majorHAnsi" w:eastAsiaTheme="majorEastAsia" w:cstheme="majorBidi"/>
      <w:b/>
      <w:bCs/>
      <w:sz w:val="24"/>
      <w:szCs w:val="24"/>
    </w:rPr>
  </w:style>
  <w:style w:type="character" w:customStyle="1" w:styleId="49">
    <w:name w:val="标题 7 字符"/>
    <w:basedOn w:val="36"/>
    <w:link w:val="8"/>
    <w:qFormat/>
    <w:uiPriority w:val="0"/>
    <w:rPr>
      <w:rFonts w:ascii="Times New Roman" w:hAnsi="Times New Roman"/>
      <w:b/>
      <w:bCs/>
      <w:sz w:val="24"/>
      <w:szCs w:val="24"/>
    </w:rPr>
  </w:style>
  <w:style w:type="character" w:customStyle="1" w:styleId="50">
    <w:name w:val="标题 8 字符"/>
    <w:basedOn w:val="36"/>
    <w:link w:val="9"/>
    <w:qFormat/>
    <w:uiPriority w:val="0"/>
    <w:rPr>
      <w:rFonts w:asciiTheme="majorHAnsi" w:hAnsiTheme="majorHAnsi" w:eastAsiaTheme="majorEastAsia" w:cstheme="majorBidi"/>
      <w:sz w:val="24"/>
      <w:szCs w:val="24"/>
    </w:rPr>
  </w:style>
  <w:style w:type="character" w:customStyle="1" w:styleId="51">
    <w:name w:val="标题 9 字符"/>
    <w:basedOn w:val="36"/>
    <w:link w:val="10"/>
    <w:qFormat/>
    <w:uiPriority w:val="0"/>
    <w:rPr>
      <w:rFonts w:asciiTheme="majorHAnsi" w:hAnsiTheme="majorHAnsi" w:eastAsiaTheme="majorEastAsia" w:cstheme="majorBidi"/>
      <w:sz w:val="24"/>
      <w:szCs w:val="21"/>
    </w:rPr>
  </w:style>
  <w:style w:type="paragraph" w:customStyle="1" w:styleId="52">
    <w:name w:val="TOC Heading"/>
    <w:basedOn w:val="2"/>
    <w:next w:val="1"/>
    <w:unhideWhenUsed/>
    <w:qFormat/>
    <w:uiPriority w:val="39"/>
    <w:pPr>
      <w:widowControl/>
      <w:numPr>
        <w:numId w:val="0"/>
      </w:num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53">
    <w:name w:val="批注框文本 字符"/>
    <w:basedOn w:val="36"/>
    <w:link w:val="22"/>
    <w:semiHidden/>
    <w:qFormat/>
    <w:uiPriority w:val="99"/>
    <w:rPr>
      <w:sz w:val="18"/>
      <w:szCs w:val="18"/>
    </w:rPr>
  </w:style>
  <w:style w:type="paragraph" w:customStyle="1" w:styleId="54">
    <w:name w:val="Char1 Char Char Char"/>
    <w:basedOn w:val="1"/>
    <w:qFormat/>
    <w:uiPriority w:val="0"/>
    <w:pPr>
      <w:ind w:left="100" w:leftChars="100" w:right="100" w:rightChars="100"/>
    </w:pPr>
    <w:rPr>
      <w:rFonts w:ascii="Tahoma" w:hAnsi="Tahoma" w:eastAsia="宋体" w:cs="Times New Roman"/>
      <w:szCs w:val="20"/>
    </w:rPr>
  </w:style>
  <w:style w:type="character" w:customStyle="1" w:styleId="55">
    <w:name w:val="页眉 字符"/>
    <w:basedOn w:val="36"/>
    <w:link w:val="24"/>
    <w:qFormat/>
    <w:uiPriority w:val="99"/>
    <w:rPr>
      <w:sz w:val="18"/>
      <w:szCs w:val="18"/>
    </w:rPr>
  </w:style>
  <w:style w:type="character" w:customStyle="1" w:styleId="56">
    <w:name w:val="页脚 字符"/>
    <w:basedOn w:val="36"/>
    <w:link w:val="23"/>
    <w:qFormat/>
    <w:uiPriority w:val="99"/>
    <w:rPr>
      <w:sz w:val="18"/>
      <w:szCs w:val="18"/>
    </w:rPr>
  </w:style>
  <w:style w:type="character" w:customStyle="1" w:styleId="57">
    <w:name w:val="批注文字 字符"/>
    <w:basedOn w:val="36"/>
    <w:link w:val="16"/>
    <w:qFormat/>
    <w:uiPriority w:val="99"/>
  </w:style>
  <w:style w:type="character" w:customStyle="1" w:styleId="58">
    <w:name w:val="批注主题 字符"/>
    <w:basedOn w:val="57"/>
    <w:link w:val="32"/>
    <w:semiHidden/>
    <w:qFormat/>
    <w:uiPriority w:val="99"/>
    <w:rPr>
      <w:b/>
      <w:bCs/>
    </w:rPr>
  </w:style>
  <w:style w:type="paragraph" w:customStyle="1" w:styleId="59">
    <w:name w:val="小四文本缩进"/>
    <w:basedOn w:val="1"/>
    <w:link w:val="60"/>
    <w:qFormat/>
    <w:uiPriority w:val="0"/>
    <w:pPr>
      <w:ind w:firstLine="480"/>
    </w:pPr>
    <w:rPr>
      <w:rFonts w:eastAsia="宋体" w:cs="Times New Roman"/>
      <w:kern w:val="0"/>
      <w:szCs w:val="24"/>
    </w:rPr>
  </w:style>
  <w:style w:type="character" w:customStyle="1" w:styleId="60">
    <w:name w:val="小四文本缩进 Char"/>
    <w:link w:val="59"/>
    <w:qFormat/>
    <w:uiPriority w:val="0"/>
    <w:rPr>
      <w:rFonts w:ascii="Times New Roman" w:hAnsi="Times New Roman" w:eastAsia="宋体" w:cs="Times New Roman"/>
      <w:kern w:val="0"/>
      <w:sz w:val="24"/>
      <w:szCs w:val="24"/>
    </w:rPr>
  </w:style>
  <w:style w:type="paragraph" w:customStyle="1" w:styleId="61">
    <w:name w:val="正文样式"/>
    <w:basedOn w:val="1"/>
    <w:link w:val="62"/>
    <w:qFormat/>
    <w:uiPriority w:val="0"/>
    <w:rPr>
      <w:rFonts w:eastAsia="宋体" w:cs="Times New Roman"/>
      <w:szCs w:val="24"/>
    </w:rPr>
  </w:style>
  <w:style w:type="character" w:customStyle="1" w:styleId="62">
    <w:name w:val="正文样式 Char"/>
    <w:link w:val="61"/>
    <w:qFormat/>
    <w:uiPriority w:val="0"/>
    <w:rPr>
      <w:rFonts w:ascii="Times New Roman" w:hAnsi="Times New Roman" w:eastAsia="宋体" w:cs="Times New Roman"/>
      <w:sz w:val="24"/>
      <w:szCs w:val="24"/>
    </w:rPr>
  </w:style>
  <w:style w:type="paragraph" w:customStyle="1" w:styleId="63">
    <w:name w:val="H4."/>
    <w:basedOn w:val="5"/>
    <w:qFormat/>
    <w:locked/>
    <w:uiPriority w:val="0"/>
    <w:pPr>
      <w:spacing w:beforeLines="100" w:afterLines="100" w:line="240" w:lineRule="auto"/>
      <w:jc w:val="left"/>
    </w:pPr>
    <w:rPr>
      <w:rFonts w:cs="Times New Roman" w:eastAsiaTheme="minorEastAsia"/>
      <w:sz w:val="30"/>
      <w:szCs w:val="24"/>
      <w:lang w:val="zh-CN"/>
    </w:rPr>
  </w:style>
  <w:style w:type="paragraph" w:customStyle="1" w:styleId="64">
    <w:name w:val="样式6"/>
    <w:basedOn w:val="4"/>
    <w:link w:val="65"/>
    <w:qFormat/>
    <w:uiPriority w:val="0"/>
    <w:pPr>
      <w:numPr>
        <w:ilvl w:val="0"/>
        <w:numId w:val="0"/>
      </w:numPr>
      <w:spacing w:line="360" w:lineRule="auto"/>
    </w:pPr>
  </w:style>
  <w:style w:type="character" w:customStyle="1" w:styleId="65">
    <w:name w:val="样式6 Char"/>
    <w:basedOn w:val="45"/>
    <w:link w:val="64"/>
    <w:qFormat/>
    <w:uiPriority w:val="0"/>
    <w:rPr>
      <w:rFonts w:asciiTheme="minorEastAsia" w:hAnsiTheme="minorEastAsia"/>
      <w:sz w:val="32"/>
      <w:szCs w:val="32"/>
    </w:rPr>
  </w:style>
  <w:style w:type="paragraph" w:customStyle="1" w:styleId="66">
    <w:name w:val="样式 首行缩进:  2 字符"/>
    <w:basedOn w:val="1"/>
    <w:link w:val="67"/>
    <w:qFormat/>
    <w:uiPriority w:val="0"/>
    <w:pPr>
      <w:spacing w:beforeLines="50"/>
    </w:pPr>
    <w:rPr>
      <w:rFonts w:ascii="仿宋_GB2312" w:eastAsia="仿宋_GB2312" w:cs="宋体"/>
      <w:szCs w:val="20"/>
    </w:rPr>
  </w:style>
  <w:style w:type="character" w:customStyle="1" w:styleId="67">
    <w:name w:val="样式 首行缩进:  2 字符 Char"/>
    <w:link w:val="66"/>
    <w:qFormat/>
    <w:uiPriority w:val="0"/>
    <w:rPr>
      <w:rFonts w:ascii="仿宋_GB2312" w:hAnsi="Times New Roman" w:eastAsia="仿宋_GB2312" w:cs="宋体"/>
      <w:sz w:val="28"/>
      <w:szCs w:val="20"/>
    </w:rPr>
  </w:style>
  <w:style w:type="paragraph" w:customStyle="1" w:styleId="68">
    <w:name w:val="正文--样式 (西文) 宋体 行距: 1.5 倍行距 首行缩进:  2 字符"/>
    <w:basedOn w:val="1"/>
    <w:qFormat/>
    <w:uiPriority w:val="0"/>
    <w:pPr>
      <w:ind w:firstLine="480"/>
    </w:pPr>
    <w:rPr>
      <w:rFonts w:ascii="宋体" w:hAnsi="宋体" w:eastAsia="仿宋_GB2312" w:cs="宋体"/>
      <w:szCs w:val="20"/>
    </w:rPr>
  </w:style>
  <w:style w:type="character" w:customStyle="1" w:styleId="69">
    <w:name w:val="正文缩进 字符1"/>
    <w:basedOn w:val="36"/>
    <w:link w:val="12"/>
    <w:qFormat/>
    <w:uiPriority w:val="0"/>
    <w:rPr>
      <w:rFonts w:ascii="Times New Roman" w:hAnsi="Times New Roman" w:eastAsia="仿宋_GB2312" w:cs="Times New Roman"/>
      <w:sz w:val="24"/>
      <w:szCs w:val="24"/>
    </w:rPr>
  </w:style>
  <w:style w:type="paragraph" w:customStyle="1" w:styleId="70">
    <w:name w:val="表格"/>
    <w:basedOn w:val="1"/>
    <w:next w:val="1"/>
    <w:link w:val="72"/>
    <w:qFormat/>
    <w:uiPriority w:val="0"/>
    <w:pPr>
      <w:ind w:firstLine="0" w:firstLineChars="0"/>
      <w:jc w:val="center"/>
    </w:pPr>
    <w:rPr>
      <w:rFonts w:ascii="仿宋_GB2312" w:hAnsi="Arial" w:eastAsia="仿宋_GB2312" w:cs="Times New Roman"/>
      <w:szCs w:val="32"/>
    </w:rPr>
  </w:style>
  <w:style w:type="character" w:customStyle="1" w:styleId="71">
    <w:name w:val="题注 字符"/>
    <w:link w:val="13"/>
    <w:qFormat/>
    <w:uiPriority w:val="0"/>
    <w:rPr>
      <w:rFonts w:ascii="Arial" w:hAnsi="Arial" w:eastAsia="黑体"/>
    </w:rPr>
  </w:style>
  <w:style w:type="character" w:customStyle="1" w:styleId="72">
    <w:name w:val="表格 Char"/>
    <w:link w:val="70"/>
    <w:qFormat/>
    <w:locked/>
    <w:uiPriority w:val="0"/>
    <w:rPr>
      <w:rFonts w:ascii="仿宋_GB2312" w:hAnsi="Arial" w:eastAsia="仿宋_GB2312" w:cs="Times New Roman"/>
      <w:sz w:val="24"/>
      <w:szCs w:val="32"/>
    </w:rPr>
  </w:style>
  <w:style w:type="character" w:customStyle="1" w:styleId="73">
    <w:name w:val="列表段落 字符1"/>
    <w:link w:val="43"/>
    <w:qFormat/>
    <w:uiPriority w:val="1"/>
    <w:rPr>
      <w:rFonts w:ascii="宋体" w:hAnsi="宋体"/>
      <w:sz w:val="24"/>
      <w:szCs w:val="28"/>
    </w:rPr>
  </w:style>
  <w:style w:type="character" w:customStyle="1" w:styleId="74">
    <w:name w:val="文档结构图 字符"/>
    <w:basedOn w:val="36"/>
    <w:link w:val="15"/>
    <w:semiHidden/>
    <w:qFormat/>
    <w:uiPriority w:val="99"/>
    <w:rPr>
      <w:rFonts w:ascii="宋体" w:eastAsia="宋体" w:hAnsiTheme="minorEastAsia"/>
      <w:sz w:val="18"/>
      <w:szCs w:val="18"/>
    </w:rPr>
  </w:style>
  <w:style w:type="paragraph" w:customStyle="1" w:styleId="75">
    <w:name w:val="图格式"/>
    <w:basedOn w:val="1"/>
    <w:link w:val="76"/>
    <w:qFormat/>
    <w:locked/>
    <w:uiPriority w:val="0"/>
    <w:pPr>
      <w:spacing w:line="240" w:lineRule="auto"/>
      <w:ind w:firstLine="0" w:firstLineChars="0"/>
      <w:jc w:val="center"/>
    </w:pPr>
    <w:rPr>
      <w:rFonts w:eastAsia="宋体" w:cs="Times New Roman"/>
      <w:sz w:val="21"/>
      <w:szCs w:val="24"/>
    </w:rPr>
  </w:style>
  <w:style w:type="character" w:customStyle="1" w:styleId="76">
    <w:name w:val="图格式 Char"/>
    <w:link w:val="75"/>
    <w:qFormat/>
    <w:uiPriority w:val="0"/>
    <w:rPr>
      <w:rFonts w:ascii="Times New Roman" w:hAnsi="Times New Roman" w:eastAsia="宋体" w:cs="Times New Roman"/>
      <w:szCs w:val="24"/>
    </w:rPr>
  </w:style>
  <w:style w:type="character" w:customStyle="1" w:styleId="77">
    <w:name w:val="C503-正文格式 Char Char"/>
    <w:link w:val="14"/>
    <w:qFormat/>
    <w:uiPriority w:val="0"/>
    <w:rPr>
      <w:sz w:val="24"/>
    </w:rPr>
  </w:style>
  <w:style w:type="paragraph" w:customStyle="1" w:styleId="78">
    <w:name w:val="样式 首行缩进:  2 字符1"/>
    <w:basedOn w:val="1"/>
    <w:qFormat/>
    <w:uiPriority w:val="0"/>
    <w:rPr>
      <w:rFonts w:eastAsia="仿宋_GB2312" w:cs="宋体"/>
      <w:szCs w:val="20"/>
    </w:rPr>
  </w:style>
  <w:style w:type="paragraph" w:customStyle="1" w:styleId="79">
    <w:name w:val="列出段落1"/>
    <w:basedOn w:val="1"/>
    <w:qFormat/>
    <w:uiPriority w:val="0"/>
    <w:pPr>
      <w:spacing w:line="240" w:lineRule="auto"/>
    </w:pPr>
    <w:rPr>
      <w:rFonts w:eastAsia="宋体" w:cs="Times New Roman"/>
      <w:sz w:val="21"/>
      <w:szCs w:val="24"/>
    </w:rPr>
  </w:style>
  <w:style w:type="character" w:customStyle="1" w:styleId="80">
    <w:name w:val="题注 Char1"/>
    <w:qFormat/>
    <w:uiPriority w:val="99"/>
    <w:rPr>
      <w:rFonts w:ascii="Arial" w:hAnsi="Arial" w:eastAsia="黑体" w:cs="Arial"/>
      <w:color w:val="000000" w:themeColor="text1"/>
      <w:sz w:val="21"/>
      <w:szCs w:val="28"/>
      <w14:textFill>
        <w14:solidFill>
          <w14:schemeClr w14:val="tx1"/>
        </w14:solidFill>
      </w14:textFill>
    </w:rPr>
  </w:style>
  <w:style w:type="character" w:customStyle="1" w:styleId="81">
    <w:name w:val="正文样式2 Char"/>
    <w:link w:val="82"/>
    <w:qFormat/>
    <w:uiPriority w:val="0"/>
    <w:rPr>
      <w:rFonts w:ascii="宋体" w:hAnsi="宋体" w:eastAsia="宋体"/>
      <w:sz w:val="24"/>
    </w:rPr>
  </w:style>
  <w:style w:type="paragraph" w:customStyle="1" w:styleId="82">
    <w:name w:val="正文样式2"/>
    <w:basedOn w:val="1"/>
    <w:link w:val="81"/>
    <w:qFormat/>
    <w:uiPriority w:val="0"/>
    <w:pPr>
      <w:adjustRightInd w:val="0"/>
      <w:snapToGrid w:val="0"/>
      <w:spacing w:afterLines="50" w:line="276" w:lineRule="auto"/>
      <w:ind w:firstLine="480"/>
    </w:pPr>
    <w:rPr>
      <w:rFonts w:ascii="宋体" w:hAnsi="宋体" w:eastAsia="宋体"/>
      <w:szCs w:val="22"/>
    </w:rPr>
  </w:style>
  <w:style w:type="paragraph" w:customStyle="1" w:styleId="83">
    <w:name w:val="样式 标题 3 + 黑体"/>
    <w:basedOn w:val="4"/>
    <w:qFormat/>
    <w:uiPriority w:val="0"/>
    <w:pPr>
      <w:tabs>
        <w:tab w:val="left" w:pos="720"/>
      </w:tabs>
      <w:spacing w:line="416" w:lineRule="auto"/>
      <w:ind w:left="720" w:hanging="720"/>
    </w:pPr>
    <w:rPr>
      <w:rFonts w:ascii="黑体" w:hAnsi="黑体" w:eastAsia="黑体" w:cs="Times New Roman"/>
    </w:rPr>
  </w:style>
  <w:style w:type="paragraph" w:customStyle="1" w:styleId="84">
    <w:name w:val="图注"/>
    <w:basedOn w:val="1"/>
    <w:link w:val="85"/>
    <w:qFormat/>
    <w:uiPriority w:val="0"/>
    <w:pPr>
      <w:ind w:firstLine="0" w:firstLineChars="0"/>
      <w:jc w:val="center"/>
    </w:pPr>
    <w:rPr>
      <w:rFonts w:asciiTheme="minorHAnsi" w:hAnsiTheme="minorHAnsi"/>
      <w:sz w:val="18"/>
      <w:szCs w:val="18"/>
    </w:rPr>
  </w:style>
  <w:style w:type="character" w:customStyle="1" w:styleId="85">
    <w:name w:val="图注 Char"/>
    <w:basedOn w:val="36"/>
    <w:link w:val="84"/>
    <w:qFormat/>
    <w:uiPriority w:val="0"/>
    <w:rPr>
      <w:sz w:val="18"/>
      <w:szCs w:val="18"/>
    </w:rPr>
  </w:style>
  <w:style w:type="paragraph" w:customStyle="1" w:styleId="86">
    <w:name w:val="表格正文"/>
    <w:next w:val="1"/>
    <w:link w:val="87"/>
    <w:qFormat/>
    <w:uiPriority w:val="0"/>
    <w:rPr>
      <w:rFonts w:ascii="Calibri" w:hAnsi="Calibri" w:eastAsia="宋体" w:cs="Times New Roman"/>
      <w:kern w:val="2"/>
      <w:sz w:val="21"/>
      <w:szCs w:val="21"/>
      <w:lang w:val="en-US" w:eastAsia="zh-CN" w:bidi="ar-SA"/>
    </w:rPr>
  </w:style>
  <w:style w:type="character" w:customStyle="1" w:styleId="87">
    <w:name w:val="表格正文 Char"/>
    <w:link w:val="86"/>
    <w:qFormat/>
    <w:uiPriority w:val="0"/>
    <w:rPr>
      <w:rFonts w:ascii="Calibri" w:hAnsi="Calibri" w:eastAsia="宋体" w:cs="Times New Roman"/>
      <w:szCs w:val="21"/>
    </w:rPr>
  </w:style>
  <w:style w:type="character" w:customStyle="1" w:styleId="88">
    <w:name w:val="正文文本 字符"/>
    <w:basedOn w:val="36"/>
    <w:link w:val="17"/>
    <w:semiHidden/>
    <w:qFormat/>
    <w:uiPriority w:val="99"/>
    <w:rPr>
      <w:rFonts w:asciiTheme="minorEastAsia" w:hAnsiTheme="minorEastAsia"/>
      <w:sz w:val="28"/>
      <w:szCs w:val="28"/>
    </w:rPr>
  </w:style>
  <w:style w:type="character" w:customStyle="1" w:styleId="89">
    <w:name w:val="正文文本首行缩进 字符"/>
    <w:basedOn w:val="88"/>
    <w:link w:val="33"/>
    <w:qFormat/>
    <w:uiPriority w:val="99"/>
    <w:rPr>
      <w:rFonts w:ascii="Times New Roman" w:hAnsi="Times New Roman" w:eastAsia="宋体" w:cs="Times New Roman"/>
      <w:sz w:val="24"/>
      <w:szCs w:val="20"/>
    </w:rPr>
  </w:style>
  <w:style w:type="paragraph" w:customStyle="1" w:styleId="90">
    <w:name w:val="默认段落字体 Para Char Char Char"/>
    <w:basedOn w:val="1"/>
    <w:qFormat/>
    <w:uiPriority w:val="0"/>
    <w:rPr>
      <w:rFonts w:eastAsia="宋体" w:cs="Times New Roman"/>
      <w:szCs w:val="20"/>
    </w:rPr>
  </w:style>
  <w:style w:type="paragraph" w:customStyle="1" w:styleId="91">
    <w:name w:val="样式 标题 4 + 黑体"/>
    <w:basedOn w:val="5"/>
    <w:qFormat/>
    <w:uiPriority w:val="0"/>
    <w:pPr>
      <w:numPr>
        <w:numId w:val="4"/>
      </w:numPr>
      <w:spacing w:line="376" w:lineRule="auto"/>
    </w:pPr>
    <w:rPr>
      <w:rFonts w:ascii="黑体" w:hAnsi="黑体" w:eastAsia="黑体" w:cs="Times New Roman"/>
    </w:rPr>
  </w:style>
  <w:style w:type="paragraph" w:customStyle="1" w:styleId="92">
    <w:name w:val="Char4"/>
    <w:basedOn w:val="1"/>
    <w:qFormat/>
    <w:uiPriority w:val="0"/>
    <w:pPr>
      <w:spacing w:line="240" w:lineRule="auto"/>
      <w:ind w:firstLine="0" w:firstLineChars="0"/>
    </w:pPr>
    <w:rPr>
      <w:rFonts w:ascii="仿宋_GB2312" w:eastAsia="仿宋_GB2312" w:cs="Times New Roman"/>
      <w:b/>
      <w:sz w:val="32"/>
      <w:szCs w:val="32"/>
    </w:rPr>
  </w:style>
  <w:style w:type="paragraph" w:customStyle="1" w:styleId="93">
    <w:name w:val="参考文献"/>
    <w:basedOn w:val="1"/>
    <w:qFormat/>
    <w:uiPriority w:val="0"/>
    <w:pPr>
      <w:keepLines/>
      <w:widowControl/>
      <w:numPr>
        <w:ilvl w:val="0"/>
        <w:numId w:val="5"/>
      </w:numPr>
      <w:tabs>
        <w:tab w:val="left" w:pos="472"/>
        <w:tab w:val="clear" w:pos="567"/>
      </w:tabs>
      <w:spacing w:beforeLines="0" w:afterLines="0"/>
      <w:ind w:left="472" w:hanging="472"/>
      <w:jc w:val="left"/>
    </w:pPr>
    <w:rPr>
      <w:rFonts w:eastAsia="宋体" w:cs="Times New Roman"/>
      <w:kern w:val="0"/>
      <w:szCs w:val="20"/>
      <w:lang w:bidi="he-IL"/>
    </w:rPr>
  </w:style>
  <w:style w:type="paragraph" w:customStyle="1" w:styleId="94">
    <w:name w:val="图形居中"/>
    <w:next w:val="1"/>
    <w:qFormat/>
    <w:uiPriority w:val="0"/>
    <w:pPr>
      <w:jc w:val="center"/>
    </w:pPr>
    <w:rPr>
      <w:rFonts w:ascii="Calibri" w:hAnsi="Calibri" w:eastAsia="宋体" w:cs="Times New Roman"/>
      <w:kern w:val="2"/>
      <w:sz w:val="24"/>
      <w:szCs w:val="21"/>
      <w:lang w:val="en-US" w:eastAsia="zh-CN" w:bidi="ar-SA"/>
    </w:rPr>
  </w:style>
  <w:style w:type="character" w:customStyle="1" w:styleId="95">
    <w:name w:val="无间隔 字符"/>
    <w:link w:val="96"/>
    <w:qFormat/>
    <w:uiPriority w:val="1"/>
    <w:rPr>
      <w:sz w:val="28"/>
      <w:szCs w:val="21"/>
    </w:rPr>
  </w:style>
  <w:style w:type="paragraph" w:styleId="96">
    <w:name w:val="No Spacing"/>
    <w:link w:val="95"/>
    <w:qFormat/>
    <w:uiPriority w:val="1"/>
    <w:pPr>
      <w:widowControl w:val="0"/>
      <w:jc w:val="both"/>
    </w:pPr>
    <w:rPr>
      <w:rFonts w:asciiTheme="minorHAnsi" w:hAnsiTheme="minorHAnsi" w:eastAsiaTheme="minorEastAsia" w:cstheme="minorBidi"/>
      <w:kern w:val="2"/>
      <w:sz w:val="28"/>
      <w:szCs w:val="21"/>
      <w:lang w:val="en-US" w:eastAsia="zh-CN" w:bidi="ar-SA"/>
    </w:rPr>
  </w:style>
  <w:style w:type="paragraph" w:customStyle="1" w:styleId="97">
    <w:name w:val="font5"/>
    <w:basedOn w:val="1"/>
    <w:qFormat/>
    <w:uiPriority w:val="0"/>
    <w:pPr>
      <w:widowControl/>
      <w:spacing w:beforeLines="0" w:beforeAutospacing="1" w:afterLines="0" w:afterAutospacing="1" w:line="240" w:lineRule="auto"/>
      <w:ind w:firstLine="0" w:firstLineChars="0"/>
      <w:jc w:val="left"/>
    </w:pPr>
    <w:rPr>
      <w:rFonts w:ascii="宋体" w:hAnsi="宋体" w:eastAsia="宋体" w:cs="宋体"/>
      <w:kern w:val="0"/>
      <w:sz w:val="18"/>
      <w:szCs w:val="18"/>
    </w:rPr>
  </w:style>
  <w:style w:type="paragraph" w:customStyle="1" w:styleId="98">
    <w:name w:val="font6"/>
    <w:basedOn w:val="1"/>
    <w:qFormat/>
    <w:uiPriority w:val="0"/>
    <w:pPr>
      <w:widowControl/>
      <w:spacing w:beforeLines="0" w:beforeAutospacing="1" w:afterLines="0" w:afterAutospacing="1" w:line="240" w:lineRule="auto"/>
      <w:ind w:firstLine="0" w:firstLineChars="0"/>
      <w:jc w:val="left"/>
    </w:pPr>
    <w:rPr>
      <w:rFonts w:ascii="宋体" w:hAnsi="宋体" w:eastAsia="宋体" w:cs="宋体"/>
      <w:b/>
      <w:bCs/>
      <w:color w:val="000000"/>
      <w:kern w:val="0"/>
      <w:sz w:val="18"/>
      <w:szCs w:val="18"/>
    </w:rPr>
  </w:style>
  <w:style w:type="paragraph" w:customStyle="1" w:styleId="99">
    <w:name w:val="font7"/>
    <w:basedOn w:val="1"/>
    <w:qFormat/>
    <w:uiPriority w:val="0"/>
    <w:pPr>
      <w:widowControl/>
      <w:spacing w:beforeLines="0" w:beforeAutospacing="1" w:afterLines="0" w:afterAutospacing="1" w:line="240" w:lineRule="auto"/>
      <w:ind w:firstLine="0" w:firstLineChars="0"/>
      <w:jc w:val="left"/>
    </w:pPr>
    <w:rPr>
      <w:rFonts w:ascii="Calibri" w:hAnsi="Calibri" w:eastAsia="宋体" w:cs="宋体"/>
      <w:b/>
      <w:bCs/>
      <w:color w:val="000000"/>
      <w:kern w:val="0"/>
      <w:sz w:val="18"/>
      <w:szCs w:val="18"/>
    </w:rPr>
  </w:style>
  <w:style w:type="paragraph" w:customStyle="1" w:styleId="100">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DAEEF3"/>
      <w:spacing w:beforeLines="0" w:beforeAutospacing="1" w:afterLines="0" w:afterAutospacing="1" w:line="240" w:lineRule="auto"/>
      <w:ind w:firstLine="0" w:firstLineChars="0"/>
      <w:jc w:val="left"/>
      <w:textAlignment w:val="center"/>
    </w:pPr>
    <w:rPr>
      <w:rFonts w:ascii="宋体" w:hAnsi="宋体" w:eastAsia="宋体" w:cs="宋体"/>
      <w:b/>
      <w:bCs/>
      <w:color w:val="000000"/>
      <w:kern w:val="0"/>
      <w:sz w:val="21"/>
      <w:szCs w:val="21"/>
    </w:rPr>
  </w:style>
  <w:style w:type="paragraph" w:customStyle="1" w:styleId="101">
    <w:name w:val="xl66"/>
    <w:basedOn w:val="1"/>
    <w:qFormat/>
    <w:uiPriority w:val="0"/>
    <w:pPr>
      <w:widowControl/>
      <w:pBdr>
        <w:top w:val="single" w:color="auto" w:sz="8" w:space="0"/>
        <w:bottom w:val="single" w:color="auto" w:sz="8" w:space="0"/>
        <w:right w:val="single" w:color="auto" w:sz="8" w:space="0"/>
      </w:pBdr>
      <w:shd w:val="clear" w:color="000000" w:fill="DAEEF3"/>
      <w:spacing w:beforeLines="0" w:beforeAutospacing="1" w:afterLines="0" w:afterAutospacing="1" w:line="240" w:lineRule="auto"/>
      <w:ind w:firstLine="0" w:firstLineChars="0"/>
      <w:jc w:val="left"/>
      <w:textAlignment w:val="center"/>
    </w:pPr>
    <w:rPr>
      <w:rFonts w:ascii="宋体" w:hAnsi="宋体" w:eastAsia="宋体" w:cs="宋体"/>
      <w:b/>
      <w:bCs/>
      <w:color w:val="000000"/>
      <w:kern w:val="0"/>
      <w:sz w:val="21"/>
      <w:szCs w:val="21"/>
    </w:rPr>
  </w:style>
  <w:style w:type="paragraph" w:customStyle="1" w:styleId="102">
    <w:name w:val="xl67"/>
    <w:basedOn w:val="1"/>
    <w:qFormat/>
    <w:uiPriority w:val="0"/>
    <w:pPr>
      <w:widowControl/>
      <w:pBdr>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03">
    <w:name w:val="xl68"/>
    <w:basedOn w:val="1"/>
    <w:qFormat/>
    <w:uiPriority w:val="0"/>
    <w:pPr>
      <w:widowControl/>
      <w:pBdr>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Calibri" w:hAnsi="Calibri" w:eastAsia="宋体" w:cs="宋体"/>
      <w:color w:val="000000"/>
      <w:kern w:val="0"/>
      <w:sz w:val="21"/>
      <w:szCs w:val="21"/>
    </w:rPr>
  </w:style>
  <w:style w:type="paragraph" w:customStyle="1" w:styleId="104">
    <w:name w:val="xl69"/>
    <w:basedOn w:val="1"/>
    <w:qFormat/>
    <w:uiPriority w:val="0"/>
    <w:pPr>
      <w:widowControl/>
      <w:pBdr>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05">
    <w:name w:val="xl70"/>
    <w:basedOn w:val="1"/>
    <w:qFormat/>
    <w:uiPriority w:val="0"/>
    <w:pPr>
      <w:widowControl/>
      <w:pBdr>
        <w:right w:val="single" w:color="auto" w:sz="8" w:space="0"/>
      </w:pBdr>
      <w:spacing w:beforeLines="0" w:beforeAutospacing="1" w:afterLines="0" w:afterAutospacing="1" w:line="240" w:lineRule="auto"/>
      <w:ind w:firstLine="0" w:firstLineChars="0"/>
      <w:jc w:val="left"/>
      <w:textAlignment w:val="center"/>
    </w:pPr>
    <w:rPr>
      <w:rFonts w:ascii="Calibri" w:hAnsi="Calibri" w:eastAsia="宋体" w:cs="宋体"/>
      <w:color w:val="000000"/>
      <w:kern w:val="0"/>
      <w:sz w:val="21"/>
      <w:szCs w:val="21"/>
    </w:rPr>
  </w:style>
  <w:style w:type="paragraph" w:customStyle="1" w:styleId="106">
    <w:name w:val="xl71"/>
    <w:basedOn w:val="1"/>
    <w:qFormat/>
    <w:uiPriority w:val="0"/>
    <w:pPr>
      <w:widowControl/>
      <w:pBdr>
        <w:top w:val="single" w:color="auto" w:sz="8" w:space="0"/>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07">
    <w:name w:val="xl72"/>
    <w:basedOn w:val="1"/>
    <w:qFormat/>
    <w:uiPriority w:val="0"/>
    <w:pPr>
      <w:widowControl/>
      <w:pBdr>
        <w:top w:val="single" w:color="auto" w:sz="8" w:space="0"/>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Calibri" w:hAnsi="Calibri" w:eastAsia="宋体" w:cs="宋体"/>
      <w:color w:val="000000"/>
      <w:kern w:val="0"/>
      <w:sz w:val="21"/>
      <w:szCs w:val="21"/>
    </w:rPr>
  </w:style>
  <w:style w:type="paragraph" w:customStyle="1" w:styleId="108">
    <w:name w:val="xl73"/>
    <w:basedOn w:val="1"/>
    <w:qFormat/>
    <w:uiPriority w:val="0"/>
    <w:pPr>
      <w:widowControl/>
      <w:pBdr>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Cs w:val="24"/>
    </w:rPr>
  </w:style>
  <w:style w:type="paragraph" w:customStyle="1" w:styleId="109">
    <w:name w:val="xl74"/>
    <w:basedOn w:val="1"/>
    <w:qFormat/>
    <w:uiPriority w:val="0"/>
    <w:pPr>
      <w:widowControl/>
      <w:pBdr>
        <w:left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Cs w:val="24"/>
    </w:rPr>
  </w:style>
  <w:style w:type="paragraph" w:customStyle="1" w:styleId="110">
    <w:name w:val="xl75"/>
    <w:basedOn w:val="1"/>
    <w:qFormat/>
    <w:uiPriority w:val="0"/>
    <w:pPr>
      <w:widowControl/>
      <w:pBdr>
        <w:top w:val="single" w:color="auto" w:sz="8" w:space="0"/>
        <w:left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Cs w:val="24"/>
    </w:rPr>
  </w:style>
  <w:style w:type="paragraph" w:customStyle="1" w:styleId="111">
    <w:name w:val="xl76"/>
    <w:basedOn w:val="1"/>
    <w:qFormat/>
    <w:uiPriority w:val="0"/>
    <w:pPr>
      <w:widowControl/>
      <w:pBdr>
        <w:left w:val="single" w:color="auto" w:sz="8" w:space="0"/>
        <w:bottom w:val="single" w:color="000000"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Cs w:val="24"/>
    </w:rPr>
  </w:style>
  <w:style w:type="paragraph" w:customStyle="1" w:styleId="112">
    <w:name w:val="xl77"/>
    <w:basedOn w:val="1"/>
    <w:qFormat/>
    <w:uiPriority w:val="0"/>
    <w:pPr>
      <w:widowControl/>
      <w:pBdr>
        <w:left w:val="single" w:color="auto" w:sz="8" w:space="0"/>
        <w:bottom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Cs w:val="24"/>
    </w:rPr>
  </w:style>
  <w:style w:type="paragraph" w:customStyle="1" w:styleId="113">
    <w:name w:val="xl78"/>
    <w:basedOn w:val="1"/>
    <w:qFormat/>
    <w:uiPriority w:val="0"/>
    <w:pPr>
      <w:widowControl/>
      <w:pBdr>
        <w:top w:val="single" w:color="auto" w:sz="8" w:space="0"/>
        <w:left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 w:val="21"/>
      <w:szCs w:val="21"/>
    </w:rPr>
  </w:style>
  <w:style w:type="paragraph" w:customStyle="1" w:styleId="114">
    <w:name w:val="xl79"/>
    <w:basedOn w:val="1"/>
    <w:qFormat/>
    <w:uiPriority w:val="0"/>
    <w:pPr>
      <w:widowControl/>
      <w:pBdr>
        <w:left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 w:val="21"/>
      <w:szCs w:val="21"/>
    </w:rPr>
  </w:style>
  <w:style w:type="paragraph" w:customStyle="1" w:styleId="115">
    <w:name w:val="xl80"/>
    <w:basedOn w:val="1"/>
    <w:qFormat/>
    <w:uiPriority w:val="0"/>
    <w:pPr>
      <w:widowControl/>
      <w:pBdr>
        <w:left w:val="single" w:color="auto" w:sz="8" w:space="0"/>
        <w:bottom w:val="single" w:color="000000"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 w:val="21"/>
      <w:szCs w:val="21"/>
    </w:rPr>
  </w:style>
  <w:style w:type="paragraph" w:customStyle="1" w:styleId="116">
    <w:name w:val="xl81"/>
    <w:basedOn w:val="1"/>
    <w:qFormat/>
    <w:uiPriority w:val="0"/>
    <w:pPr>
      <w:widowControl/>
      <w:pBdr>
        <w:top w:val="single" w:color="000000" w:sz="8" w:space="0"/>
        <w:left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 w:val="21"/>
      <w:szCs w:val="21"/>
    </w:rPr>
  </w:style>
  <w:style w:type="paragraph" w:customStyle="1" w:styleId="117">
    <w:name w:val="xl82"/>
    <w:basedOn w:val="1"/>
    <w:qFormat/>
    <w:uiPriority w:val="0"/>
    <w:pPr>
      <w:widowControl/>
      <w:pBdr>
        <w:left w:val="single" w:color="auto" w:sz="8" w:space="0"/>
        <w:bottom w:val="single" w:color="auto" w:sz="8" w:space="0"/>
        <w:right w:val="single" w:color="auto" w:sz="8" w:space="0"/>
      </w:pBdr>
      <w:spacing w:beforeLines="0" w:beforeAutospacing="1" w:afterLines="0" w:afterAutospacing="1" w:line="240" w:lineRule="auto"/>
      <w:ind w:firstLine="0" w:firstLineChars="0"/>
      <w:jc w:val="center"/>
      <w:textAlignment w:val="center"/>
    </w:pPr>
    <w:rPr>
      <w:rFonts w:ascii="宋体" w:hAnsi="宋体" w:eastAsia="宋体" w:cs="宋体"/>
      <w:color w:val="000000"/>
      <w:kern w:val="0"/>
      <w:sz w:val="21"/>
      <w:szCs w:val="21"/>
    </w:rPr>
  </w:style>
  <w:style w:type="paragraph" w:customStyle="1" w:styleId="118">
    <w:name w:val="xl83"/>
    <w:basedOn w:val="1"/>
    <w:qFormat/>
    <w:uiPriority w:val="0"/>
    <w:pPr>
      <w:widowControl/>
      <w:pBdr>
        <w:top w:val="single" w:color="auto" w:sz="8" w:space="0"/>
        <w:left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19">
    <w:name w:val="xl84"/>
    <w:basedOn w:val="1"/>
    <w:qFormat/>
    <w:uiPriority w:val="0"/>
    <w:pPr>
      <w:widowControl/>
      <w:pBdr>
        <w:left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20">
    <w:name w:val="xl85"/>
    <w:basedOn w:val="1"/>
    <w:qFormat/>
    <w:uiPriority w:val="0"/>
    <w:pPr>
      <w:widowControl/>
      <w:pBdr>
        <w:left w:val="single" w:color="auto" w:sz="8" w:space="0"/>
        <w:bottom w:val="single" w:color="auto" w:sz="8" w:space="0"/>
        <w:right w:val="single" w:color="auto" w:sz="8" w:space="0"/>
      </w:pBdr>
      <w:spacing w:beforeLines="0" w:beforeAutospacing="1" w:afterLines="0" w:afterAutospacing="1" w:line="240" w:lineRule="auto"/>
      <w:ind w:firstLine="0" w:firstLineChars="0"/>
      <w:jc w:val="left"/>
      <w:textAlignment w:val="center"/>
    </w:pPr>
    <w:rPr>
      <w:rFonts w:ascii="宋体" w:hAnsi="宋体" w:eastAsia="宋体" w:cs="宋体"/>
      <w:color w:val="000000"/>
      <w:kern w:val="0"/>
      <w:sz w:val="21"/>
      <w:szCs w:val="21"/>
    </w:rPr>
  </w:style>
  <w:style w:type="paragraph" w:customStyle="1" w:styleId="121">
    <w:name w:val="xl86"/>
    <w:basedOn w:val="1"/>
    <w:qFormat/>
    <w:uiPriority w:val="0"/>
    <w:pPr>
      <w:widowControl/>
      <w:pBdr>
        <w:left w:val="single" w:color="auto" w:sz="8" w:space="0"/>
        <w:bottom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2">
    <w:name w:val="xl87"/>
    <w:basedOn w:val="1"/>
    <w:qFormat/>
    <w:uiPriority w:val="0"/>
    <w:pPr>
      <w:widowControl/>
      <w:pBdr>
        <w:bottom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3">
    <w:name w:val="xl88"/>
    <w:basedOn w:val="1"/>
    <w:qFormat/>
    <w:uiPriority w:val="0"/>
    <w:pPr>
      <w:widowControl/>
      <w:pBdr>
        <w:bottom w:val="single" w:color="auto" w:sz="8" w:space="0"/>
        <w:right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4">
    <w:name w:val="xl89"/>
    <w:basedOn w:val="1"/>
    <w:qFormat/>
    <w:uiPriority w:val="0"/>
    <w:pPr>
      <w:widowControl/>
      <w:pBdr>
        <w:top w:val="single" w:color="auto" w:sz="8" w:space="0"/>
        <w:bottom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5">
    <w:name w:val="xl90"/>
    <w:basedOn w:val="1"/>
    <w:qFormat/>
    <w:uiPriority w:val="0"/>
    <w:pPr>
      <w:widowControl/>
      <w:pBdr>
        <w:top w:val="single" w:color="auto" w:sz="8" w:space="0"/>
        <w:left w:val="single" w:color="auto" w:sz="8" w:space="0"/>
        <w:bottom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6">
    <w:name w:val="xl91"/>
    <w:basedOn w:val="1"/>
    <w:qFormat/>
    <w:uiPriority w:val="0"/>
    <w:pPr>
      <w:widowControl/>
      <w:pBdr>
        <w:top w:val="single" w:color="auto" w:sz="8" w:space="0"/>
        <w:bottom w:val="single" w:color="auto" w:sz="8" w:space="0"/>
        <w:right w:val="single" w:color="auto" w:sz="8" w:space="0"/>
      </w:pBdr>
      <w:shd w:val="clear" w:color="000000" w:fill="FDE9D9"/>
      <w:spacing w:beforeLines="0" w:beforeAutospacing="1" w:afterLines="0" w:afterAutospacing="1" w:line="240" w:lineRule="auto"/>
      <w:ind w:firstLine="0" w:firstLineChars="0"/>
      <w:jc w:val="center"/>
      <w:textAlignment w:val="center"/>
    </w:pPr>
    <w:rPr>
      <w:rFonts w:ascii="宋体" w:hAnsi="宋体" w:eastAsia="宋体" w:cs="宋体"/>
      <w:b/>
      <w:bCs/>
      <w:color w:val="000000"/>
      <w:kern w:val="0"/>
      <w:sz w:val="21"/>
      <w:szCs w:val="21"/>
    </w:rPr>
  </w:style>
  <w:style w:type="paragraph" w:customStyle="1" w:styleId="127">
    <w:name w:val="文字2"/>
    <w:basedOn w:val="1"/>
    <w:qFormat/>
    <w:uiPriority w:val="0"/>
    <w:pPr>
      <w:widowControl/>
      <w:numPr>
        <w:ilvl w:val="1"/>
        <w:numId w:val="6"/>
      </w:numPr>
      <w:spacing w:beforeLines="0" w:afterLines="0" w:line="320" w:lineRule="exact"/>
      <w:ind w:right="386" w:firstLine="0" w:firstLineChars="0"/>
      <w:jc w:val="left"/>
    </w:pPr>
    <w:rPr>
      <w:rFonts w:ascii="Calibri" w:hAnsi="Calibri" w:eastAsia="宋体" w:cs="Times New Roman"/>
      <w:kern w:val="0"/>
      <w:sz w:val="21"/>
      <w:szCs w:val="22"/>
    </w:rPr>
  </w:style>
  <w:style w:type="paragraph" w:customStyle="1" w:styleId="128">
    <w:name w:val="xl63"/>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line="240" w:lineRule="auto"/>
      <w:ind w:firstLine="0" w:firstLineChars="0"/>
      <w:jc w:val="left"/>
      <w:textAlignment w:val="center"/>
    </w:pPr>
    <w:rPr>
      <w:rFonts w:ascii="宋体" w:hAnsi="宋体" w:eastAsia="宋体" w:cs="宋体"/>
      <w:kern w:val="0"/>
      <w:sz w:val="21"/>
      <w:szCs w:val="21"/>
    </w:rPr>
  </w:style>
  <w:style w:type="paragraph" w:customStyle="1" w:styleId="129">
    <w:name w:val="xl64"/>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line="240" w:lineRule="auto"/>
      <w:ind w:firstLine="0" w:firstLineChars="0"/>
      <w:jc w:val="left"/>
      <w:textAlignment w:val="center"/>
    </w:pPr>
    <w:rPr>
      <w:rFonts w:ascii="宋体" w:hAnsi="宋体" w:eastAsia="宋体" w:cs="宋体"/>
      <w:b/>
      <w:bCs/>
      <w:kern w:val="0"/>
      <w:sz w:val="21"/>
      <w:szCs w:val="21"/>
    </w:rPr>
  </w:style>
  <w:style w:type="character" w:customStyle="1" w:styleId="130">
    <w:name w:val="blacktext"/>
    <w:basedOn w:val="36"/>
    <w:qFormat/>
    <w:uiPriority w:val="0"/>
  </w:style>
  <w:style w:type="paragraph" w:customStyle="1" w:styleId="131">
    <w:name w:val="H正文"/>
    <w:basedOn w:val="1"/>
    <w:link w:val="132"/>
    <w:qFormat/>
    <w:uiPriority w:val="0"/>
    <w:pPr>
      <w:widowControl/>
      <w:adjustRightInd w:val="0"/>
      <w:spacing w:beforeLines="0" w:afterLines="0" w:line="300" w:lineRule="auto"/>
      <w:ind w:firstLine="482"/>
    </w:pPr>
    <w:rPr>
      <w:rFonts w:ascii="宋体" w:hAnsi="宋体" w:eastAsia="宋体" w:cs="Times New Roman"/>
      <w:b/>
      <w:color w:val="000000"/>
      <w:kern w:val="24"/>
      <w:szCs w:val="20"/>
      <w:lang w:val="sv-SE"/>
    </w:rPr>
  </w:style>
  <w:style w:type="character" w:customStyle="1" w:styleId="132">
    <w:name w:val="H正文 Char"/>
    <w:link w:val="131"/>
    <w:qFormat/>
    <w:uiPriority w:val="0"/>
    <w:rPr>
      <w:rFonts w:ascii="宋体" w:hAnsi="宋体" w:eastAsia="宋体" w:cs="Times New Roman"/>
      <w:b/>
      <w:color w:val="000000"/>
      <w:kern w:val="24"/>
      <w:sz w:val="24"/>
      <w:szCs w:val="20"/>
      <w:lang w:val="sv-SE"/>
    </w:rPr>
  </w:style>
  <w:style w:type="paragraph" w:customStyle="1" w:styleId="133">
    <w:name w:val="font8"/>
    <w:basedOn w:val="1"/>
    <w:qFormat/>
    <w:uiPriority w:val="0"/>
    <w:pPr>
      <w:widowControl/>
      <w:spacing w:beforeLines="0" w:beforeAutospacing="1" w:afterLines="0" w:afterAutospacing="1" w:line="240" w:lineRule="auto"/>
      <w:ind w:firstLine="0" w:firstLineChars="0"/>
      <w:jc w:val="left"/>
    </w:pPr>
    <w:rPr>
      <w:rFonts w:ascii="宋体" w:hAnsi="宋体" w:eastAsia="宋体" w:cs="宋体"/>
      <w:color w:val="000000"/>
      <w:kern w:val="0"/>
      <w:sz w:val="22"/>
      <w:szCs w:val="22"/>
    </w:rPr>
  </w:style>
  <w:style w:type="paragraph" w:customStyle="1" w:styleId="134">
    <w:name w:val="font9"/>
    <w:basedOn w:val="1"/>
    <w:qFormat/>
    <w:uiPriority w:val="0"/>
    <w:pPr>
      <w:widowControl/>
      <w:spacing w:beforeLines="0" w:beforeAutospacing="1" w:afterLines="0" w:afterAutospacing="1" w:line="240" w:lineRule="auto"/>
      <w:ind w:firstLine="0" w:firstLineChars="0"/>
      <w:jc w:val="left"/>
    </w:pPr>
    <w:rPr>
      <w:rFonts w:ascii="Calibri" w:hAnsi="Calibri" w:eastAsia="宋体" w:cs="Calibri"/>
      <w:color w:val="000000"/>
      <w:kern w:val="0"/>
      <w:sz w:val="22"/>
      <w:szCs w:val="22"/>
    </w:rPr>
  </w:style>
  <w:style w:type="paragraph" w:customStyle="1" w:styleId="135">
    <w:name w:val="font10"/>
    <w:basedOn w:val="1"/>
    <w:qFormat/>
    <w:uiPriority w:val="0"/>
    <w:pPr>
      <w:widowControl/>
      <w:spacing w:beforeLines="0" w:beforeAutospacing="1" w:afterLines="0" w:afterAutospacing="1" w:line="240" w:lineRule="auto"/>
      <w:ind w:firstLine="0" w:firstLineChars="0"/>
      <w:jc w:val="left"/>
    </w:pPr>
    <w:rPr>
      <w:rFonts w:ascii="等线" w:hAnsi="等线" w:eastAsia="等线" w:cs="宋体"/>
      <w:color w:val="000000"/>
      <w:kern w:val="0"/>
      <w:sz w:val="22"/>
      <w:szCs w:val="22"/>
    </w:rPr>
  </w:style>
  <w:style w:type="paragraph" w:customStyle="1" w:styleId="136">
    <w:name w:val="font11"/>
    <w:basedOn w:val="1"/>
    <w:qFormat/>
    <w:uiPriority w:val="0"/>
    <w:pPr>
      <w:widowControl/>
      <w:spacing w:beforeLines="0" w:beforeAutospacing="1" w:afterLines="0" w:afterAutospacing="1" w:line="240" w:lineRule="auto"/>
      <w:ind w:firstLine="0" w:firstLineChars="0"/>
      <w:jc w:val="left"/>
    </w:pPr>
    <w:rPr>
      <w:rFonts w:ascii="等线" w:hAnsi="等线" w:eastAsia="等线" w:cs="宋体"/>
      <w:color w:val="000000"/>
      <w:kern w:val="0"/>
      <w:sz w:val="21"/>
      <w:szCs w:val="21"/>
    </w:rPr>
  </w:style>
  <w:style w:type="character" w:customStyle="1" w:styleId="137">
    <w:name w:val="正文文本缩进 字符"/>
    <w:basedOn w:val="36"/>
    <w:link w:val="18"/>
    <w:qFormat/>
    <w:uiPriority w:val="99"/>
    <w:rPr>
      <w:rFonts w:ascii="Times New Roman" w:hAnsi="Times New Roman" w:eastAsia="宋体" w:cs="Times New Roman"/>
      <w:szCs w:val="24"/>
    </w:rPr>
  </w:style>
  <w:style w:type="paragraph" w:customStyle="1" w:styleId="138">
    <w:name w:val="列出段落2"/>
    <w:basedOn w:val="1"/>
    <w:qFormat/>
    <w:uiPriority w:val="0"/>
    <w:pPr>
      <w:spacing w:beforeLines="0" w:afterLines="0" w:line="240" w:lineRule="auto"/>
      <w:ind w:firstLine="420"/>
    </w:pPr>
    <w:rPr>
      <w:rFonts w:ascii="Calibri" w:hAnsi="Calibri" w:eastAsia="宋体" w:cs="Times New Roman"/>
      <w:sz w:val="21"/>
      <w:szCs w:val="22"/>
    </w:rPr>
  </w:style>
  <w:style w:type="character" w:customStyle="1" w:styleId="139">
    <w:name w:val="正文缩进 字符"/>
    <w:qFormat/>
    <w:uiPriority w:val="0"/>
    <w:rPr>
      <w:kern w:val="2"/>
      <w:sz w:val="21"/>
      <w:szCs w:val="24"/>
    </w:rPr>
  </w:style>
  <w:style w:type="paragraph" w:customStyle="1" w:styleId="140">
    <w:name w:val="项目分类"/>
    <w:basedOn w:val="1"/>
    <w:qFormat/>
    <w:uiPriority w:val="0"/>
    <w:pPr>
      <w:widowControl/>
      <w:spacing w:beforeLines="0" w:beforeAutospacing="1" w:afterLines="0" w:afterAutospacing="1" w:line="240" w:lineRule="auto"/>
      <w:ind w:left="420" w:hanging="420" w:firstLineChars="0"/>
      <w:jc w:val="left"/>
    </w:pPr>
    <w:rPr>
      <w:rFonts w:ascii="Arial" w:hAnsi="Arial" w:eastAsia="宋体" w:cs="Arial"/>
      <w:kern w:val="0"/>
      <w:sz w:val="22"/>
      <w:szCs w:val="22"/>
    </w:rPr>
  </w:style>
  <w:style w:type="paragraph" w:customStyle="1" w:styleId="141">
    <w:name w:val="符号列表"/>
    <w:basedOn w:val="1"/>
    <w:next w:val="43"/>
    <w:link w:val="142"/>
    <w:qFormat/>
    <w:uiPriority w:val="34"/>
    <w:pPr>
      <w:adjustRightInd w:val="0"/>
      <w:snapToGrid w:val="0"/>
      <w:spacing w:beforeLines="0" w:afterLines="0"/>
      <w:ind w:firstLine="420"/>
    </w:pPr>
    <w:rPr>
      <w:rFonts w:ascii="仿宋_GB2312" w:eastAsia="仿宋_GB2312" w:hAnsiTheme="minorHAnsi"/>
      <w:sz w:val="28"/>
    </w:rPr>
  </w:style>
  <w:style w:type="character" w:customStyle="1" w:styleId="142">
    <w:name w:val="列表段落 字符"/>
    <w:link w:val="141"/>
    <w:qFormat/>
    <w:locked/>
    <w:uiPriority w:val="0"/>
    <w:rPr>
      <w:rFonts w:ascii="仿宋_GB2312" w:eastAsia="仿宋_GB2312"/>
      <w:kern w:val="2"/>
      <w:sz w:val="28"/>
      <w:szCs w:val="28"/>
    </w:rPr>
  </w:style>
  <w:style w:type="character" w:customStyle="1" w:styleId="143">
    <w:name w:val="列出段落 Char2"/>
    <w:qFormat/>
    <w:locked/>
    <w:uiPriority w:val="34"/>
    <w:rPr>
      <w:rFonts w:ascii="Calibri" w:hAnsi="Calibri" w:eastAsia="宋体" w:cs="Times New Roman"/>
      <w:kern w:val="2"/>
      <w:sz w:val="21"/>
      <w:szCs w:val="22"/>
    </w:rPr>
  </w:style>
  <w:style w:type="paragraph" w:customStyle="1" w:styleId="144">
    <w:name w:val="Char1"/>
    <w:basedOn w:val="1"/>
    <w:next w:val="1"/>
    <w:qFormat/>
    <w:uiPriority w:val="0"/>
    <w:pPr>
      <w:widowControl/>
      <w:spacing w:beforeLines="0" w:after="160" w:afterLines="0" w:line="240" w:lineRule="exact"/>
      <w:ind w:firstLine="0" w:firstLineChars="0"/>
      <w:jc w:val="left"/>
    </w:pPr>
    <w:rPr>
      <w:rFonts w:ascii="Verdana" w:hAnsi="Verdana" w:eastAsia="宋体" w:cs="Times New Roman"/>
      <w:kern w:val="0"/>
      <w:sz w:val="20"/>
      <w:szCs w:val="20"/>
      <w:lang w:eastAsia="en-US"/>
    </w:rPr>
  </w:style>
  <w:style w:type="paragraph" w:customStyle="1" w:styleId="145">
    <w:name w:val="Char11"/>
    <w:basedOn w:val="1"/>
    <w:next w:val="1"/>
    <w:qFormat/>
    <w:uiPriority w:val="0"/>
    <w:pPr>
      <w:widowControl/>
      <w:spacing w:beforeLines="0" w:after="160" w:afterLines="0" w:line="240" w:lineRule="exact"/>
      <w:ind w:firstLine="0" w:firstLineChars="0"/>
      <w:jc w:val="left"/>
    </w:pPr>
    <w:rPr>
      <w:rFonts w:ascii="Verdana" w:hAnsi="Verdana" w:eastAsia="宋体" w:cs="Times New Roman"/>
      <w:kern w:val="0"/>
      <w:sz w:val="20"/>
      <w:szCs w:val="20"/>
      <w:lang w:eastAsia="en-US"/>
    </w:rPr>
  </w:style>
  <w:style w:type="paragraph" w:customStyle="1" w:styleId="146">
    <w:name w:val="Char12"/>
    <w:basedOn w:val="1"/>
    <w:next w:val="1"/>
    <w:qFormat/>
    <w:uiPriority w:val="0"/>
    <w:pPr>
      <w:widowControl/>
      <w:spacing w:beforeLines="0" w:after="160" w:afterLines="0" w:line="240" w:lineRule="exact"/>
      <w:ind w:firstLine="0" w:firstLineChars="0"/>
      <w:jc w:val="left"/>
    </w:pPr>
    <w:rPr>
      <w:rFonts w:ascii="Verdana" w:hAnsi="Verdana" w:eastAsia="宋体" w:cs="Times New Roman"/>
      <w:kern w:val="0"/>
      <w:sz w:val="20"/>
      <w:szCs w:val="20"/>
      <w:lang w:eastAsia="en-US"/>
    </w:rPr>
  </w:style>
  <w:style w:type="paragraph" w:customStyle="1" w:styleId="147">
    <w:name w:val="Char13"/>
    <w:basedOn w:val="1"/>
    <w:next w:val="1"/>
    <w:qFormat/>
    <w:uiPriority w:val="0"/>
    <w:pPr>
      <w:widowControl/>
      <w:spacing w:beforeLines="0" w:after="160" w:afterLines="0" w:line="240" w:lineRule="exact"/>
      <w:ind w:firstLine="0" w:firstLineChars="0"/>
      <w:jc w:val="left"/>
    </w:pPr>
    <w:rPr>
      <w:rFonts w:ascii="Verdana" w:hAnsi="Verdana" w:eastAsia="宋体" w:cs="Times New Roman"/>
      <w:kern w:val="0"/>
      <w:sz w:val="20"/>
      <w:szCs w:val="20"/>
      <w:lang w:eastAsia="en-US"/>
    </w:rPr>
  </w:style>
  <w:style w:type="paragraph" w:customStyle="1" w:styleId="148">
    <w:name w:val="文档正文样式"/>
    <w:basedOn w:val="1"/>
    <w:qFormat/>
    <w:uiPriority w:val="0"/>
    <w:pPr>
      <w:widowControl/>
      <w:adjustRightInd w:val="0"/>
      <w:spacing w:beforeLines="50" w:afterLines="0" w:line="240" w:lineRule="auto"/>
      <w:ind w:firstLine="440"/>
    </w:pPr>
    <w:rPr>
      <w:rFonts w:ascii="Arial" w:hAnsi="Arial" w:eastAsia="宋体" w:cs="Arial"/>
      <w:kern w:val="0"/>
      <w:sz w:val="22"/>
      <w:szCs w:val="22"/>
      <w:lang w:val="en-GB"/>
    </w:rPr>
  </w:style>
  <w:style w:type="paragraph" w:customStyle="1" w:styleId="149">
    <w:name w:val="Body IN"/>
    <w:basedOn w:val="1"/>
    <w:qFormat/>
    <w:uiPriority w:val="0"/>
    <w:pPr>
      <w:widowControl/>
      <w:spacing w:before="80" w:beforeLines="0" w:after="80" w:afterLines="0" w:line="240" w:lineRule="auto"/>
      <w:ind w:left="3384" w:firstLine="0" w:firstLineChars="0"/>
      <w:jc w:val="left"/>
    </w:pPr>
    <w:rPr>
      <w:rFonts w:eastAsia="宋体" w:cs="Times New Roman"/>
      <w:kern w:val="0"/>
      <w:sz w:val="22"/>
      <w:szCs w:val="20"/>
      <w:lang w:eastAsia="en-US"/>
    </w:rPr>
  </w:style>
  <w:style w:type="paragraph" w:customStyle="1" w:styleId="150">
    <w:name w:val="样式 行距: 1.5 倍行距"/>
    <w:basedOn w:val="1"/>
    <w:qFormat/>
    <w:uiPriority w:val="0"/>
    <w:pPr>
      <w:spacing w:beforeLines="0" w:afterLines="0"/>
      <w:ind w:firstLine="0" w:firstLineChars="0"/>
    </w:pPr>
    <w:rPr>
      <w:rFonts w:ascii="Arial" w:hAnsi="Arial" w:eastAsia="宋体" w:cs="Times New Roman"/>
      <w:sz w:val="21"/>
      <w:szCs w:val="21"/>
    </w:rPr>
  </w:style>
  <w:style w:type="paragraph" w:customStyle="1" w:styleId="151">
    <w:name w:val="样式 样式 样式 样式 标题 2 + 宋体 五号 非加粗 黑色 + 段前: 6 磅 段后: 0 磅 行距: 单倍行距 + 段前:..."/>
    <w:basedOn w:val="1"/>
    <w:qFormat/>
    <w:uiPriority w:val="0"/>
    <w:pPr>
      <w:keepNext/>
      <w:keepLines/>
      <w:numPr>
        <w:ilvl w:val="1"/>
        <w:numId w:val="7"/>
      </w:numPr>
      <w:adjustRightInd w:val="0"/>
      <w:spacing w:before="240" w:beforeLines="0" w:afterLines="0" w:line="240" w:lineRule="auto"/>
      <w:ind w:firstLine="0" w:firstLineChars="0"/>
      <w:jc w:val="left"/>
      <w:textAlignment w:val="baseline"/>
      <w:outlineLvl w:val="1"/>
    </w:pPr>
    <w:rPr>
      <w:rFonts w:ascii="宋体" w:hAnsi="宋体" w:eastAsia="宋体" w:cs="黑体"/>
      <w:b/>
      <w:bCs/>
      <w:color w:val="000000"/>
      <w:kern w:val="0"/>
      <w:sz w:val="21"/>
      <w:szCs w:val="20"/>
    </w:rPr>
  </w:style>
  <w:style w:type="paragraph" w:customStyle="1" w:styleId="152">
    <w:name w:val="方案正文"/>
    <w:basedOn w:val="1"/>
    <w:qFormat/>
    <w:uiPriority w:val="0"/>
    <w:pPr>
      <w:spacing w:beforeLines="0" w:afterLines="0"/>
      <w:ind w:firstLine="0" w:firstLineChars="0"/>
    </w:pPr>
    <w:rPr>
      <w:rFonts w:ascii="宋体" w:hAnsi="Calibri" w:eastAsia="仿宋_GB2312" w:cs="Times New Roman"/>
      <w:sz w:val="28"/>
      <w:szCs w:val="22"/>
    </w:rPr>
  </w:style>
  <w:style w:type="character" w:customStyle="1" w:styleId="153">
    <w:name w:val="*正文 Char"/>
    <w:link w:val="154"/>
    <w:qFormat/>
    <w:uiPriority w:val="0"/>
    <w:rPr>
      <w:rFonts w:ascii="宋体" w:hAnsi="宋体"/>
      <w:sz w:val="24"/>
      <w:szCs w:val="24"/>
    </w:rPr>
  </w:style>
  <w:style w:type="paragraph" w:customStyle="1" w:styleId="154">
    <w:name w:val="*正文"/>
    <w:basedOn w:val="1"/>
    <w:link w:val="153"/>
    <w:qFormat/>
    <w:uiPriority w:val="0"/>
    <w:pPr>
      <w:spacing w:beforeLines="0" w:afterLines="0"/>
    </w:pPr>
    <w:rPr>
      <w:rFonts w:ascii="宋体" w:hAnsi="宋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2695</Words>
  <Characters>15364</Characters>
  <Lines>128</Lines>
  <Paragraphs>36</Paragraphs>
  <TotalTime>1302</TotalTime>
  <ScaleCrop>false</ScaleCrop>
  <LinksUpToDate>false</LinksUpToDate>
  <CharactersWithSpaces>18023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2022-10-23T02:29:00Z</dcterms:created>
  <dc:creator>user</dc:creator>
  <cp:lastModifiedBy>user</cp:lastModifiedBy>
  <cp:lastPrinted>2017-09-11T16:27:00Z</cp:lastPrinted>
  <dcterms:modified xsi:type="dcterms:W3CDTF">2022-10-28T16:27:50Z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